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19437" w14:textId="70D2184B" w:rsidR="00B951FA" w:rsidRDefault="00251BCF" w:rsidP="00B552B8">
      <w:pPr>
        <w:spacing w:line="48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Impact of </w:t>
      </w:r>
      <w:r w:rsidR="005362AE" w:rsidRPr="005362AE">
        <w:rPr>
          <w:b/>
          <w:bCs/>
          <w:sz w:val="32"/>
          <w:szCs w:val="32"/>
        </w:rPr>
        <w:t>Phaco</w:t>
      </w:r>
      <w:r w:rsidR="0035631E">
        <w:rPr>
          <w:b/>
          <w:bCs/>
          <w:sz w:val="32"/>
          <w:szCs w:val="32"/>
        </w:rPr>
        <w:t>emulsification versus combined</w:t>
      </w:r>
      <w:r w:rsidR="005362AE" w:rsidRPr="005362AE">
        <w:rPr>
          <w:b/>
          <w:bCs/>
          <w:sz w:val="32"/>
          <w:szCs w:val="32"/>
        </w:rPr>
        <w:t xml:space="preserve"> </w:t>
      </w:r>
      <w:r w:rsidR="0035631E" w:rsidRPr="005362AE">
        <w:rPr>
          <w:b/>
          <w:bCs/>
          <w:sz w:val="32"/>
          <w:szCs w:val="32"/>
        </w:rPr>
        <w:t>Phaco</w:t>
      </w:r>
      <w:r w:rsidR="0035631E">
        <w:rPr>
          <w:b/>
          <w:bCs/>
          <w:sz w:val="32"/>
          <w:szCs w:val="32"/>
        </w:rPr>
        <w:t>emulsification</w:t>
      </w:r>
      <w:r w:rsidR="0035631E" w:rsidRPr="005362AE">
        <w:rPr>
          <w:b/>
          <w:bCs/>
          <w:sz w:val="32"/>
          <w:szCs w:val="32"/>
        </w:rPr>
        <w:t xml:space="preserve">-goniotomy </w:t>
      </w:r>
      <w:r>
        <w:rPr>
          <w:b/>
          <w:bCs/>
          <w:sz w:val="32"/>
          <w:szCs w:val="32"/>
        </w:rPr>
        <w:t xml:space="preserve">on intraocular pressure </w:t>
      </w:r>
      <w:r w:rsidR="005362AE" w:rsidRPr="005362AE">
        <w:rPr>
          <w:b/>
          <w:bCs/>
          <w:sz w:val="32"/>
          <w:szCs w:val="32"/>
        </w:rPr>
        <w:t xml:space="preserve">in </w:t>
      </w:r>
      <w:r w:rsidR="0035631E">
        <w:rPr>
          <w:b/>
          <w:bCs/>
          <w:sz w:val="32"/>
          <w:szCs w:val="32"/>
        </w:rPr>
        <w:t xml:space="preserve">primary </w:t>
      </w:r>
      <w:r>
        <w:rPr>
          <w:b/>
          <w:bCs/>
          <w:sz w:val="32"/>
          <w:szCs w:val="32"/>
        </w:rPr>
        <w:t>open-angle</w:t>
      </w:r>
      <w:r w:rsidR="005362AE" w:rsidRPr="005362AE">
        <w:rPr>
          <w:b/>
          <w:bCs/>
          <w:sz w:val="32"/>
          <w:szCs w:val="32"/>
        </w:rPr>
        <w:t xml:space="preserve"> glaucoma</w:t>
      </w:r>
      <w:r>
        <w:rPr>
          <w:b/>
          <w:bCs/>
          <w:sz w:val="32"/>
          <w:szCs w:val="32"/>
        </w:rPr>
        <w:t xml:space="preserve"> patients</w:t>
      </w:r>
    </w:p>
    <w:p w14:paraId="46FAF4D9" w14:textId="4E82C71D" w:rsidR="00092AEC" w:rsidRDefault="00092AEC" w:rsidP="00B552B8">
      <w:pPr>
        <w:spacing w:line="480" w:lineRule="auto"/>
        <w:jc w:val="center"/>
        <w:rPr>
          <w:b/>
          <w:bCs/>
          <w:sz w:val="32"/>
          <w:szCs w:val="32"/>
        </w:rPr>
      </w:pPr>
    </w:p>
    <w:p w14:paraId="754879E0" w14:textId="77777777" w:rsidR="00092AEC" w:rsidRDefault="00092AEC" w:rsidP="00B552B8">
      <w:pPr>
        <w:spacing w:line="480" w:lineRule="auto"/>
      </w:pPr>
    </w:p>
    <w:p w14:paraId="78787CAF" w14:textId="616D9B93" w:rsidR="00092AEC" w:rsidRPr="007A0C14" w:rsidRDefault="00092AEC" w:rsidP="00B552B8">
      <w:pPr>
        <w:autoSpaceDE w:val="0"/>
        <w:autoSpaceDN w:val="0"/>
        <w:adjustRightInd w:val="0"/>
        <w:spacing w:line="480" w:lineRule="auto"/>
        <w:ind w:firstLine="567"/>
        <w:rPr>
          <w:rFonts w:cstheme="minorHAnsi"/>
          <w:sz w:val="28"/>
          <w:szCs w:val="28"/>
          <w:vertAlign w:val="superscript"/>
        </w:rPr>
      </w:pPr>
      <w:r>
        <w:rPr>
          <w:rFonts w:cstheme="minorHAnsi"/>
          <w:b/>
          <w:bCs/>
          <w:sz w:val="32"/>
          <w:szCs w:val="32"/>
        </w:rPr>
        <w:t xml:space="preserve">Word count: </w:t>
      </w:r>
      <w:r w:rsidR="00CF7308">
        <w:rPr>
          <w:rFonts w:cstheme="minorHAnsi"/>
          <w:sz w:val="32"/>
          <w:szCs w:val="32"/>
        </w:rPr>
        <w:t>4</w:t>
      </w:r>
      <w:r w:rsidR="00887516">
        <w:rPr>
          <w:rFonts w:cstheme="minorHAnsi"/>
          <w:sz w:val="32"/>
          <w:szCs w:val="32"/>
        </w:rPr>
        <w:t>1</w:t>
      </w:r>
      <w:r w:rsidR="001F4342">
        <w:rPr>
          <w:rFonts w:cstheme="minorHAnsi"/>
          <w:sz w:val="32"/>
          <w:szCs w:val="32"/>
        </w:rPr>
        <w:t>5</w:t>
      </w:r>
      <w:r w:rsidR="005B2352">
        <w:rPr>
          <w:rFonts w:cstheme="minorHAnsi"/>
          <w:sz w:val="32"/>
          <w:szCs w:val="32"/>
        </w:rPr>
        <w:t>5</w:t>
      </w:r>
    </w:p>
    <w:p w14:paraId="69E3FAA0" w14:textId="6A12AF8D" w:rsidR="00BC5F3D" w:rsidRDefault="00BC5F3D" w:rsidP="00DA7ED3">
      <w:pPr>
        <w:spacing w:line="480" w:lineRule="auto"/>
        <w:rPr>
          <w:b/>
          <w:bCs/>
          <w:sz w:val="32"/>
          <w:szCs w:val="32"/>
        </w:rPr>
      </w:pPr>
    </w:p>
    <w:p w14:paraId="69E5B5D9" w14:textId="197ABD6A" w:rsidR="00BC5F3D" w:rsidRDefault="00BC5F3D" w:rsidP="00B552B8">
      <w:pPr>
        <w:spacing w:line="48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Abstract</w:t>
      </w:r>
    </w:p>
    <w:p w14:paraId="14C13818" w14:textId="5391A71E" w:rsidR="00BC5F3D" w:rsidRDefault="00BC5F3D" w:rsidP="00B552B8">
      <w:pPr>
        <w:spacing w:line="480" w:lineRule="auto"/>
        <w:jc w:val="center"/>
        <w:rPr>
          <w:b/>
          <w:bCs/>
          <w:sz w:val="32"/>
          <w:szCs w:val="32"/>
        </w:rPr>
      </w:pPr>
    </w:p>
    <w:p w14:paraId="15C4FECC" w14:textId="278A2E66" w:rsidR="00BC5F3D" w:rsidRDefault="00BC5F3D" w:rsidP="00B552B8">
      <w:pPr>
        <w:spacing w:line="480" w:lineRule="auto"/>
        <w:rPr>
          <w:b/>
          <w:bCs/>
          <w:sz w:val="32"/>
          <w:szCs w:val="32"/>
        </w:rPr>
      </w:pPr>
      <w:r w:rsidRPr="00BC5F3D">
        <w:rPr>
          <w:b/>
          <w:bCs/>
          <w:sz w:val="28"/>
          <w:szCs w:val="28"/>
        </w:rPr>
        <w:t>Purpose</w:t>
      </w:r>
      <w:r>
        <w:rPr>
          <w:b/>
          <w:bCs/>
          <w:sz w:val="32"/>
          <w:szCs w:val="32"/>
        </w:rPr>
        <w:t>:</w:t>
      </w:r>
    </w:p>
    <w:p w14:paraId="7B22C842" w14:textId="6EFC3F0C" w:rsidR="00BC5F3D" w:rsidRDefault="00BC5F3D" w:rsidP="00B552B8">
      <w:pPr>
        <w:spacing w:line="480" w:lineRule="auto"/>
        <w:ind w:firstLine="567"/>
        <w:jc w:val="both"/>
        <w:rPr>
          <w:sz w:val="28"/>
          <w:szCs w:val="28"/>
        </w:rPr>
      </w:pPr>
      <w:r w:rsidRPr="00BC5F3D">
        <w:rPr>
          <w:sz w:val="28"/>
          <w:szCs w:val="28"/>
        </w:rPr>
        <w:t xml:space="preserve">To </w:t>
      </w:r>
      <w:r w:rsidR="00F47F41">
        <w:rPr>
          <w:sz w:val="28"/>
          <w:szCs w:val="28"/>
        </w:rPr>
        <w:t>compare</w:t>
      </w:r>
      <w:r w:rsidRPr="00BC5F3D">
        <w:rPr>
          <w:sz w:val="28"/>
          <w:szCs w:val="28"/>
        </w:rPr>
        <w:t xml:space="preserve"> the </w:t>
      </w:r>
      <w:r w:rsidR="00AE30C3">
        <w:rPr>
          <w:sz w:val="28"/>
          <w:szCs w:val="28"/>
        </w:rPr>
        <w:t>efficacy and safety</w:t>
      </w:r>
      <w:r w:rsidRPr="00BC5F3D">
        <w:rPr>
          <w:sz w:val="28"/>
          <w:szCs w:val="28"/>
        </w:rPr>
        <w:t xml:space="preserve"> of </w:t>
      </w:r>
      <w:r>
        <w:rPr>
          <w:sz w:val="28"/>
          <w:szCs w:val="28"/>
        </w:rPr>
        <w:t>combined phacoemulsification-goniotomy</w:t>
      </w:r>
      <w:r w:rsidR="00F47F41">
        <w:rPr>
          <w:sz w:val="28"/>
          <w:szCs w:val="28"/>
        </w:rPr>
        <w:t xml:space="preserve"> to phacoemulsification alone</w:t>
      </w:r>
      <w:r>
        <w:rPr>
          <w:sz w:val="28"/>
          <w:szCs w:val="28"/>
        </w:rPr>
        <w:t xml:space="preserve"> on intraocular pressure (IOP) primary open-angle glaucoma (POAG)</w:t>
      </w:r>
      <w:r w:rsidR="00F47F41">
        <w:rPr>
          <w:sz w:val="28"/>
          <w:szCs w:val="28"/>
        </w:rPr>
        <w:t xml:space="preserve"> patients</w:t>
      </w:r>
      <w:r>
        <w:rPr>
          <w:sz w:val="28"/>
          <w:szCs w:val="28"/>
        </w:rPr>
        <w:t>.</w:t>
      </w:r>
    </w:p>
    <w:p w14:paraId="096AB61D" w14:textId="5DD930D4" w:rsidR="00BC5F3D" w:rsidRDefault="00BC5F3D" w:rsidP="00B552B8">
      <w:pPr>
        <w:spacing w:line="480" w:lineRule="auto"/>
        <w:ind w:firstLine="567"/>
        <w:jc w:val="both"/>
        <w:rPr>
          <w:sz w:val="28"/>
          <w:szCs w:val="28"/>
        </w:rPr>
      </w:pPr>
    </w:p>
    <w:p w14:paraId="07047769" w14:textId="5C9AE00E" w:rsidR="00BC5F3D" w:rsidRDefault="00BC5F3D" w:rsidP="00B552B8">
      <w:pPr>
        <w:spacing w:line="480" w:lineRule="auto"/>
        <w:jc w:val="both"/>
        <w:rPr>
          <w:sz w:val="28"/>
          <w:szCs w:val="28"/>
        </w:rPr>
      </w:pPr>
      <w:r w:rsidRPr="00BC5F3D">
        <w:rPr>
          <w:b/>
          <w:bCs/>
          <w:sz w:val="28"/>
          <w:szCs w:val="28"/>
        </w:rPr>
        <w:t>Design:</w:t>
      </w:r>
      <w:r>
        <w:rPr>
          <w:sz w:val="28"/>
          <w:szCs w:val="28"/>
        </w:rPr>
        <w:t xml:space="preserve"> A </w:t>
      </w:r>
      <w:r w:rsidR="00AE30C3">
        <w:rPr>
          <w:sz w:val="28"/>
          <w:szCs w:val="28"/>
        </w:rPr>
        <w:t>comparative</w:t>
      </w:r>
      <w:r w:rsidR="00F47F41">
        <w:rPr>
          <w:sz w:val="28"/>
          <w:szCs w:val="28"/>
        </w:rPr>
        <w:t xml:space="preserve"> retrospective</w:t>
      </w:r>
      <w:r w:rsidR="00C3469B">
        <w:rPr>
          <w:sz w:val="28"/>
          <w:szCs w:val="28"/>
        </w:rPr>
        <w:t xml:space="preserve"> </w:t>
      </w:r>
      <w:r w:rsidR="00F47F41">
        <w:rPr>
          <w:sz w:val="28"/>
          <w:szCs w:val="28"/>
        </w:rPr>
        <w:t>research</w:t>
      </w:r>
    </w:p>
    <w:p w14:paraId="086490D9" w14:textId="15158A8F" w:rsidR="00BC5F3D" w:rsidRDefault="00BC5F3D" w:rsidP="00B552B8">
      <w:pPr>
        <w:spacing w:line="480" w:lineRule="auto"/>
        <w:ind w:firstLine="567"/>
        <w:jc w:val="both"/>
        <w:rPr>
          <w:sz w:val="28"/>
          <w:szCs w:val="28"/>
        </w:rPr>
      </w:pPr>
    </w:p>
    <w:p w14:paraId="76714C7D" w14:textId="73480CE1" w:rsidR="00BC5F3D" w:rsidRDefault="00BC5F3D" w:rsidP="00B552B8">
      <w:pPr>
        <w:spacing w:line="480" w:lineRule="auto"/>
        <w:jc w:val="both"/>
        <w:rPr>
          <w:sz w:val="28"/>
          <w:szCs w:val="28"/>
        </w:rPr>
      </w:pPr>
      <w:r w:rsidRPr="00BC5F3D">
        <w:rPr>
          <w:b/>
          <w:bCs/>
          <w:sz w:val="28"/>
          <w:szCs w:val="28"/>
        </w:rPr>
        <w:t>Patients and Methods</w:t>
      </w:r>
      <w:r>
        <w:rPr>
          <w:sz w:val="28"/>
          <w:szCs w:val="28"/>
        </w:rPr>
        <w:t>:</w:t>
      </w:r>
    </w:p>
    <w:p w14:paraId="2E230B66" w14:textId="09577086" w:rsidR="00BC5F3D" w:rsidRDefault="00F47F41" w:rsidP="00E06EBC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The study</w:t>
      </w:r>
      <w:r w:rsidR="00AE30C3">
        <w:rPr>
          <w:sz w:val="28"/>
          <w:szCs w:val="28"/>
        </w:rPr>
        <w:t xml:space="preserve"> included </w:t>
      </w:r>
      <w:r>
        <w:rPr>
          <w:sz w:val="28"/>
          <w:szCs w:val="28"/>
        </w:rPr>
        <w:t>2 groups</w:t>
      </w:r>
      <w:r w:rsidR="00BC5F3D">
        <w:rPr>
          <w:sz w:val="28"/>
          <w:szCs w:val="28"/>
        </w:rPr>
        <w:t xml:space="preserve"> with</w:t>
      </w:r>
      <w:r>
        <w:rPr>
          <w:sz w:val="28"/>
          <w:szCs w:val="28"/>
        </w:rPr>
        <w:t xml:space="preserve"> POAG &amp;</w:t>
      </w:r>
      <w:r w:rsidR="00BC5F3D">
        <w:rPr>
          <w:sz w:val="28"/>
          <w:szCs w:val="28"/>
        </w:rPr>
        <w:t xml:space="preserve"> </w:t>
      </w:r>
      <w:r w:rsidR="00D16E70">
        <w:rPr>
          <w:sz w:val="28"/>
          <w:szCs w:val="28"/>
        </w:rPr>
        <w:t>cataracts</w:t>
      </w:r>
      <w:r w:rsidR="00AE30C3">
        <w:rPr>
          <w:sz w:val="28"/>
          <w:szCs w:val="28"/>
        </w:rPr>
        <w:t>.</w:t>
      </w:r>
      <w:r w:rsidR="00D16E70">
        <w:rPr>
          <w:sz w:val="28"/>
          <w:szCs w:val="28"/>
        </w:rPr>
        <w:t xml:space="preserve"> </w:t>
      </w:r>
      <w:r>
        <w:rPr>
          <w:sz w:val="28"/>
          <w:szCs w:val="28"/>
        </w:rPr>
        <w:t>Group (Ph) included t</w:t>
      </w:r>
      <w:r w:rsidR="00AE30C3">
        <w:rPr>
          <w:sz w:val="28"/>
          <w:szCs w:val="28"/>
        </w:rPr>
        <w:t xml:space="preserve">hirty </w:t>
      </w:r>
      <w:r>
        <w:rPr>
          <w:sz w:val="28"/>
          <w:szCs w:val="28"/>
        </w:rPr>
        <w:t>patients who</w:t>
      </w:r>
      <w:r w:rsidR="00AE30C3">
        <w:rPr>
          <w:sz w:val="28"/>
          <w:szCs w:val="28"/>
        </w:rPr>
        <w:t xml:space="preserve"> had phacoemulsification</w:t>
      </w:r>
      <w:r>
        <w:rPr>
          <w:sz w:val="28"/>
          <w:szCs w:val="28"/>
        </w:rPr>
        <w:t xml:space="preserve"> alone</w:t>
      </w:r>
      <w:r w:rsidR="00BC5F3D">
        <w:rPr>
          <w:sz w:val="28"/>
          <w:szCs w:val="28"/>
        </w:rPr>
        <w:t>; while</w:t>
      </w:r>
      <w:r>
        <w:rPr>
          <w:sz w:val="28"/>
          <w:szCs w:val="28"/>
        </w:rPr>
        <w:t xml:space="preserve"> Group (</w:t>
      </w:r>
      <w:proofErr w:type="spellStart"/>
      <w:r>
        <w:rPr>
          <w:sz w:val="28"/>
          <w:szCs w:val="28"/>
        </w:rPr>
        <w:t>PhG</w:t>
      </w:r>
      <w:proofErr w:type="spellEnd"/>
      <w:r>
        <w:rPr>
          <w:sz w:val="28"/>
          <w:szCs w:val="28"/>
        </w:rPr>
        <w:t>) included</w:t>
      </w:r>
      <w:r w:rsidR="00BC5F3D">
        <w:rPr>
          <w:sz w:val="28"/>
          <w:szCs w:val="28"/>
        </w:rPr>
        <w:t xml:space="preserve"> </w:t>
      </w:r>
      <w:r w:rsidR="00AE30C3">
        <w:rPr>
          <w:sz w:val="28"/>
          <w:szCs w:val="28"/>
        </w:rPr>
        <w:t xml:space="preserve">thirty </w:t>
      </w:r>
      <w:r>
        <w:rPr>
          <w:sz w:val="28"/>
          <w:szCs w:val="28"/>
        </w:rPr>
        <w:t xml:space="preserve">patients who </w:t>
      </w:r>
      <w:r w:rsidR="00D16E70">
        <w:rPr>
          <w:sz w:val="28"/>
          <w:szCs w:val="28"/>
        </w:rPr>
        <w:t>had</w:t>
      </w:r>
      <w:r w:rsidR="00AE30C3">
        <w:rPr>
          <w:sz w:val="28"/>
          <w:szCs w:val="28"/>
        </w:rPr>
        <w:t xml:space="preserve"> combined phacoemulsification-goniotomy</w:t>
      </w:r>
      <w:r w:rsidR="00BC5F3D">
        <w:rPr>
          <w:sz w:val="28"/>
          <w:szCs w:val="28"/>
        </w:rPr>
        <w:t>.</w:t>
      </w:r>
      <w:r w:rsidR="00D16E70">
        <w:rPr>
          <w:sz w:val="28"/>
          <w:szCs w:val="28"/>
        </w:rPr>
        <w:t xml:space="preserve"> </w:t>
      </w:r>
      <w:r>
        <w:rPr>
          <w:sz w:val="28"/>
          <w:szCs w:val="28"/>
        </w:rPr>
        <w:t>They</w:t>
      </w:r>
      <w:r w:rsidR="00DE35CC">
        <w:rPr>
          <w:sz w:val="28"/>
          <w:szCs w:val="28"/>
        </w:rPr>
        <w:t xml:space="preserve"> were </w:t>
      </w:r>
      <w:r w:rsidR="00AE30C3">
        <w:rPr>
          <w:sz w:val="28"/>
          <w:szCs w:val="28"/>
        </w:rPr>
        <w:t>further divided</w:t>
      </w:r>
      <w:r w:rsidR="00DE35CC">
        <w:rPr>
          <w:sz w:val="28"/>
          <w:szCs w:val="28"/>
        </w:rPr>
        <w:t xml:space="preserve"> into </w:t>
      </w:r>
      <w:r w:rsidR="00F53C58">
        <w:rPr>
          <w:sz w:val="28"/>
          <w:szCs w:val="28"/>
        </w:rPr>
        <w:t>severe (</w:t>
      </w:r>
      <w:proofErr w:type="spellStart"/>
      <w:r w:rsidR="00F53C58">
        <w:rPr>
          <w:sz w:val="28"/>
          <w:szCs w:val="28"/>
        </w:rPr>
        <w:t>Phs</w:t>
      </w:r>
      <w:proofErr w:type="spellEnd"/>
      <w:r w:rsidR="00F53C58">
        <w:rPr>
          <w:sz w:val="28"/>
          <w:szCs w:val="28"/>
        </w:rPr>
        <w:t xml:space="preserve"> and </w:t>
      </w:r>
      <w:proofErr w:type="spellStart"/>
      <w:r w:rsidR="00F53C58">
        <w:rPr>
          <w:sz w:val="28"/>
          <w:szCs w:val="28"/>
        </w:rPr>
        <w:t>PhGs</w:t>
      </w:r>
      <w:proofErr w:type="spellEnd"/>
      <w:r w:rsidR="00F53C58">
        <w:rPr>
          <w:sz w:val="28"/>
          <w:szCs w:val="28"/>
        </w:rPr>
        <w:t xml:space="preserve">) and </w:t>
      </w:r>
      <w:r w:rsidR="00DE35CC">
        <w:rPr>
          <w:sz w:val="28"/>
          <w:szCs w:val="28"/>
        </w:rPr>
        <w:t>moderate (</w:t>
      </w:r>
      <w:proofErr w:type="spellStart"/>
      <w:r w:rsidR="00040DF9">
        <w:rPr>
          <w:sz w:val="28"/>
          <w:szCs w:val="28"/>
        </w:rPr>
        <w:t>P</w:t>
      </w:r>
      <w:r w:rsidR="00F53C58">
        <w:rPr>
          <w:sz w:val="28"/>
          <w:szCs w:val="28"/>
        </w:rPr>
        <w:t>h</w:t>
      </w:r>
      <w:r w:rsidR="00DE35CC">
        <w:rPr>
          <w:sz w:val="28"/>
          <w:szCs w:val="28"/>
        </w:rPr>
        <w:t>m</w:t>
      </w:r>
      <w:proofErr w:type="spellEnd"/>
      <w:r w:rsidR="00DE35CC">
        <w:rPr>
          <w:sz w:val="28"/>
          <w:szCs w:val="28"/>
        </w:rPr>
        <w:t xml:space="preserve"> and </w:t>
      </w:r>
      <w:proofErr w:type="spellStart"/>
      <w:r w:rsidR="00040DF9">
        <w:rPr>
          <w:sz w:val="28"/>
          <w:szCs w:val="28"/>
        </w:rPr>
        <w:t>P</w:t>
      </w:r>
      <w:r w:rsidR="00F53C58">
        <w:rPr>
          <w:sz w:val="28"/>
          <w:szCs w:val="28"/>
        </w:rPr>
        <w:t>h</w:t>
      </w:r>
      <w:r w:rsidR="00040DF9">
        <w:rPr>
          <w:sz w:val="28"/>
          <w:szCs w:val="28"/>
        </w:rPr>
        <w:t>G</w:t>
      </w:r>
      <w:r w:rsidR="00DE35CC">
        <w:rPr>
          <w:sz w:val="28"/>
          <w:szCs w:val="28"/>
        </w:rPr>
        <w:t>m</w:t>
      </w:r>
      <w:proofErr w:type="spellEnd"/>
      <w:r w:rsidR="00DE35CC">
        <w:rPr>
          <w:sz w:val="28"/>
          <w:szCs w:val="28"/>
        </w:rPr>
        <w:t xml:space="preserve">) </w:t>
      </w:r>
      <w:r w:rsidR="00DE35CC">
        <w:rPr>
          <w:sz w:val="28"/>
          <w:szCs w:val="28"/>
        </w:rPr>
        <w:lastRenderedPageBreak/>
        <w:t>glaucoma</w:t>
      </w:r>
      <w:r w:rsidR="00F82EA3">
        <w:rPr>
          <w:sz w:val="28"/>
          <w:szCs w:val="28"/>
        </w:rPr>
        <w:t xml:space="preserve"> groups</w:t>
      </w:r>
      <w:r w:rsidR="00DE35CC">
        <w:rPr>
          <w:sz w:val="28"/>
          <w:szCs w:val="28"/>
        </w:rPr>
        <w:t xml:space="preserve"> </w:t>
      </w:r>
      <w:r w:rsidR="003F3C25">
        <w:rPr>
          <w:sz w:val="28"/>
          <w:szCs w:val="28"/>
        </w:rPr>
        <w:t>depending</w:t>
      </w:r>
      <w:r w:rsidR="00C14EF4">
        <w:rPr>
          <w:sz w:val="28"/>
          <w:szCs w:val="28"/>
        </w:rPr>
        <w:t xml:space="preserve"> on the level of </w:t>
      </w:r>
      <w:r w:rsidR="00040DF9">
        <w:rPr>
          <w:sz w:val="28"/>
          <w:szCs w:val="28"/>
        </w:rPr>
        <w:t>glaucoma</w:t>
      </w:r>
      <w:r w:rsidR="00DE35CC">
        <w:rPr>
          <w:sz w:val="28"/>
          <w:szCs w:val="28"/>
        </w:rPr>
        <w:t>.</w:t>
      </w:r>
      <w:r w:rsidR="00D16E70">
        <w:rPr>
          <w:sz w:val="28"/>
          <w:szCs w:val="28"/>
        </w:rPr>
        <w:t xml:space="preserve"> </w:t>
      </w:r>
      <w:r w:rsidR="00A302B4">
        <w:rPr>
          <w:sz w:val="28"/>
          <w:szCs w:val="28"/>
        </w:rPr>
        <w:t>We recorded the</w:t>
      </w:r>
      <w:r w:rsidR="00BC5F3D">
        <w:rPr>
          <w:sz w:val="28"/>
          <w:szCs w:val="28"/>
        </w:rPr>
        <w:t xml:space="preserve"> medicated </w:t>
      </w:r>
      <w:r w:rsidR="001015A6">
        <w:rPr>
          <w:sz w:val="28"/>
          <w:szCs w:val="28"/>
        </w:rPr>
        <w:t xml:space="preserve">preoperative </w:t>
      </w:r>
      <w:r w:rsidR="00BC5F3D">
        <w:rPr>
          <w:sz w:val="28"/>
          <w:szCs w:val="28"/>
        </w:rPr>
        <w:t xml:space="preserve">IOP, number of </w:t>
      </w:r>
      <w:r w:rsidR="003F3C25">
        <w:rPr>
          <w:sz w:val="28"/>
          <w:szCs w:val="28"/>
        </w:rPr>
        <w:t>glaucoma</w:t>
      </w:r>
      <w:r w:rsidR="00BC5F3D">
        <w:rPr>
          <w:sz w:val="28"/>
          <w:szCs w:val="28"/>
        </w:rPr>
        <w:t xml:space="preserve"> </w:t>
      </w:r>
      <w:r w:rsidR="00C62887">
        <w:rPr>
          <w:sz w:val="28"/>
          <w:szCs w:val="28"/>
        </w:rPr>
        <w:t>drops</w:t>
      </w:r>
      <w:r w:rsidR="002A6284">
        <w:rPr>
          <w:sz w:val="28"/>
          <w:szCs w:val="28"/>
        </w:rPr>
        <w:t>,</w:t>
      </w:r>
      <w:r w:rsidR="00BC5F3D">
        <w:rPr>
          <w:sz w:val="28"/>
          <w:szCs w:val="28"/>
        </w:rPr>
        <w:t xml:space="preserve"> and </w:t>
      </w:r>
      <w:r w:rsidR="00ED7D33">
        <w:rPr>
          <w:sz w:val="28"/>
          <w:szCs w:val="28"/>
        </w:rPr>
        <w:t>postoperative</w:t>
      </w:r>
      <w:r w:rsidR="00314E56">
        <w:rPr>
          <w:sz w:val="28"/>
          <w:szCs w:val="28"/>
        </w:rPr>
        <w:t xml:space="preserve"> IOP </w:t>
      </w:r>
      <w:r w:rsidR="00A302B4">
        <w:rPr>
          <w:sz w:val="28"/>
          <w:szCs w:val="28"/>
        </w:rPr>
        <w:t>for all patients</w:t>
      </w:r>
      <w:r w:rsidR="00314E56">
        <w:rPr>
          <w:sz w:val="28"/>
          <w:szCs w:val="28"/>
        </w:rPr>
        <w:t>.</w:t>
      </w:r>
      <w:r w:rsidR="00D16E70">
        <w:rPr>
          <w:sz w:val="28"/>
          <w:szCs w:val="28"/>
        </w:rPr>
        <w:t xml:space="preserve"> </w:t>
      </w:r>
      <w:r w:rsidR="006A55EF">
        <w:rPr>
          <w:sz w:val="28"/>
          <w:szCs w:val="28"/>
        </w:rPr>
        <w:t xml:space="preserve">We followed up patients for 24 months for </w:t>
      </w:r>
      <w:r w:rsidR="00314E56">
        <w:rPr>
          <w:sz w:val="28"/>
          <w:szCs w:val="28"/>
        </w:rPr>
        <w:t xml:space="preserve">IOP </w:t>
      </w:r>
      <w:r w:rsidR="00040DF9">
        <w:rPr>
          <w:sz w:val="28"/>
          <w:szCs w:val="28"/>
        </w:rPr>
        <w:t xml:space="preserve">and </w:t>
      </w:r>
      <w:r w:rsidR="00D16E70">
        <w:rPr>
          <w:sz w:val="28"/>
          <w:szCs w:val="28"/>
        </w:rPr>
        <w:t xml:space="preserve">the number of </w:t>
      </w:r>
      <w:r w:rsidR="00040DF9">
        <w:rPr>
          <w:sz w:val="28"/>
          <w:szCs w:val="28"/>
        </w:rPr>
        <w:t>IOP lowering drops</w:t>
      </w:r>
      <w:r w:rsidR="00314E56">
        <w:rPr>
          <w:sz w:val="28"/>
          <w:szCs w:val="28"/>
        </w:rPr>
        <w:t>.</w:t>
      </w:r>
      <w:r w:rsidR="00D16E70">
        <w:rPr>
          <w:sz w:val="28"/>
          <w:szCs w:val="28"/>
        </w:rPr>
        <w:t xml:space="preserve"> </w:t>
      </w:r>
      <w:r w:rsidR="00040DF9">
        <w:rPr>
          <w:sz w:val="28"/>
          <w:szCs w:val="28"/>
        </w:rPr>
        <w:t>All complications were recorded and managed.</w:t>
      </w:r>
    </w:p>
    <w:p w14:paraId="57D1152A" w14:textId="0B25C966" w:rsidR="00314E56" w:rsidRDefault="00314E56" w:rsidP="00B552B8">
      <w:pPr>
        <w:spacing w:line="480" w:lineRule="auto"/>
        <w:ind w:firstLine="567"/>
        <w:jc w:val="both"/>
        <w:rPr>
          <w:sz w:val="28"/>
          <w:szCs w:val="28"/>
        </w:rPr>
      </w:pPr>
    </w:p>
    <w:p w14:paraId="43ABF910" w14:textId="5DC90BCD" w:rsidR="00314E56" w:rsidRPr="00314E56" w:rsidRDefault="00314E56" w:rsidP="00B552B8">
      <w:pPr>
        <w:spacing w:line="480" w:lineRule="auto"/>
        <w:jc w:val="both"/>
        <w:rPr>
          <w:b/>
          <w:bCs/>
          <w:sz w:val="28"/>
          <w:szCs w:val="28"/>
          <w:rtl/>
        </w:rPr>
      </w:pPr>
      <w:r w:rsidRPr="00314E56">
        <w:rPr>
          <w:b/>
          <w:bCs/>
          <w:sz w:val="28"/>
          <w:szCs w:val="28"/>
        </w:rPr>
        <w:t>Results:</w:t>
      </w:r>
    </w:p>
    <w:p w14:paraId="2E89B777" w14:textId="3D33F5B6" w:rsidR="00251BCF" w:rsidRPr="005412D2" w:rsidRDefault="00887516" w:rsidP="00B552B8">
      <w:pPr>
        <w:spacing w:line="480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On the first postoperative week, </w:t>
      </w:r>
      <w:r w:rsidR="00491BFD" w:rsidRPr="00491BFD">
        <w:rPr>
          <w:sz w:val="28"/>
          <w:szCs w:val="28"/>
        </w:rPr>
        <w:t>Group (</w:t>
      </w:r>
      <w:r w:rsidR="00040DF9">
        <w:rPr>
          <w:sz w:val="28"/>
          <w:szCs w:val="28"/>
        </w:rPr>
        <w:t>P</w:t>
      </w:r>
      <w:r w:rsidR="00C62887">
        <w:rPr>
          <w:sz w:val="28"/>
          <w:szCs w:val="28"/>
        </w:rPr>
        <w:t>h</w:t>
      </w:r>
      <w:r w:rsidR="00491BFD" w:rsidRPr="00491BFD">
        <w:rPr>
          <w:sz w:val="28"/>
          <w:szCs w:val="28"/>
        </w:rPr>
        <w:t xml:space="preserve">) </w:t>
      </w:r>
      <w:r>
        <w:rPr>
          <w:sz w:val="28"/>
          <w:szCs w:val="28"/>
        </w:rPr>
        <w:t>recorded</w:t>
      </w:r>
      <w:r w:rsidR="00491BFD">
        <w:rPr>
          <w:sz w:val="28"/>
          <w:szCs w:val="28"/>
        </w:rPr>
        <w:t xml:space="preserve"> </w:t>
      </w:r>
      <w:r w:rsidR="00E80D5C">
        <w:rPr>
          <w:sz w:val="28"/>
          <w:szCs w:val="28"/>
        </w:rPr>
        <w:t>a</w:t>
      </w:r>
      <w:r w:rsidR="002616B4">
        <w:rPr>
          <w:sz w:val="28"/>
          <w:szCs w:val="28"/>
        </w:rPr>
        <w:t xml:space="preserve"> reduction of</w:t>
      </w:r>
      <w:r w:rsidR="00E80D5C">
        <w:rPr>
          <w:sz w:val="28"/>
          <w:szCs w:val="28"/>
        </w:rPr>
        <w:t xml:space="preserve"> IOP</w:t>
      </w:r>
      <w:r w:rsidR="00491BFD">
        <w:rPr>
          <w:sz w:val="28"/>
          <w:szCs w:val="28"/>
        </w:rPr>
        <w:t xml:space="preserve"> </w:t>
      </w:r>
      <w:r w:rsidR="00DE35CC">
        <w:rPr>
          <w:sz w:val="28"/>
          <w:szCs w:val="28"/>
        </w:rPr>
        <w:t xml:space="preserve">from </w:t>
      </w:r>
      <w:r w:rsidR="00DE35CC" w:rsidRPr="005412D2">
        <w:rPr>
          <w:sz w:val="28"/>
          <w:szCs w:val="28"/>
        </w:rPr>
        <w:t>35±0.54</w:t>
      </w:r>
      <w:r w:rsidR="006B4DB4">
        <w:rPr>
          <w:sz w:val="28"/>
          <w:szCs w:val="28"/>
        </w:rPr>
        <w:t xml:space="preserve"> and </w:t>
      </w:r>
      <w:r w:rsidR="006B4DB4" w:rsidRPr="005412D2">
        <w:rPr>
          <w:sz w:val="28"/>
          <w:szCs w:val="28"/>
        </w:rPr>
        <w:t>33±1.9</w:t>
      </w:r>
      <w:r w:rsidR="00DE35CC" w:rsidRPr="005412D2">
        <w:rPr>
          <w:sz w:val="28"/>
          <w:szCs w:val="28"/>
        </w:rPr>
        <w:t xml:space="preserve"> to 31±0.83</w:t>
      </w:r>
      <w:r w:rsidR="006B4DB4">
        <w:rPr>
          <w:sz w:val="28"/>
          <w:szCs w:val="28"/>
        </w:rPr>
        <w:t xml:space="preserve"> and </w:t>
      </w:r>
      <w:r w:rsidR="006B4DB4" w:rsidRPr="005412D2">
        <w:rPr>
          <w:sz w:val="28"/>
          <w:szCs w:val="28"/>
        </w:rPr>
        <w:t>28±1.2</w:t>
      </w:r>
      <w:r w:rsidR="00DE35CC" w:rsidRPr="005412D2">
        <w:rPr>
          <w:sz w:val="28"/>
          <w:szCs w:val="28"/>
        </w:rPr>
        <w:t xml:space="preserve"> mmHg in </w:t>
      </w:r>
      <w:r w:rsidR="00CF5A1C">
        <w:rPr>
          <w:sz w:val="28"/>
          <w:szCs w:val="28"/>
        </w:rPr>
        <w:t>groups</w:t>
      </w:r>
      <w:r w:rsidR="00DE35CC" w:rsidRPr="005412D2">
        <w:rPr>
          <w:sz w:val="28"/>
          <w:szCs w:val="28"/>
        </w:rPr>
        <w:t xml:space="preserve"> </w:t>
      </w:r>
      <w:proofErr w:type="spellStart"/>
      <w:r w:rsidR="00040DF9">
        <w:rPr>
          <w:sz w:val="28"/>
          <w:szCs w:val="28"/>
        </w:rPr>
        <w:t>P</w:t>
      </w:r>
      <w:r w:rsidR="00C62887">
        <w:rPr>
          <w:sz w:val="28"/>
          <w:szCs w:val="28"/>
        </w:rPr>
        <w:t>h</w:t>
      </w:r>
      <w:r w:rsidR="006B4DB4">
        <w:rPr>
          <w:sz w:val="28"/>
          <w:szCs w:val="28"/>
        </w:rPr>
        <w:t>s</w:t>
      </w:r>
      <w:proofErr w:type="spellEnd"/>
      <w:r w:rsidR="00DE35CC" w:rsidRPr="005412D2">
        <w:rPr>
          <w:sz w:val="28"/>
          <w:szCs w:val="28"/>
        </w:rPr>
        <w:t xml:space="preserve"> and </w:t>
      </w:r>
      <w:proofErr w:type="spellStart"/>
      <w:r w:rsidR="00040DF9">
        <w:rPr>
          <w:sz w:val="28"/>
          <w:szCs w:val="28"/>
        </w:rPr>
        <w:t>P</w:t>
      </w:r>
      <w:r w:rsidR="00C62887">
        <w:rPr>
          <w:sz w:val="28"/>
          <w:szCs w:val="28"/>
        </w:rPr>
        <w:t>h</w:t>
      </w:r>
      <w:r w:rsidR="006B4DB4">
        <w:rPr>
          <w:sz w:val="28"/>
          <w:szCs w:val="28"/>
        </w:rPr>
        <w:t>m</w:t>
      </w:r>
      <w:proofErr w:type="spellEnd"/>
      <w:r w:rsidR="002A6284">
        <w:rPr>
          <w:sz w:val="28"/>
          <w:szCs w:val="28"/>
        </w:rPr>
        <w:t>,</w:t>
      </w:r>
      <w:r w:rsidR="00DE35CC" w:rsidRPr="005412D2">
        <w:rPr>
          <w:sz w:val="28"/>
          <w:szCs w:val="28"/>
        </w:rPr>
        <w:t xml:space="preserve"> respectively</w:t>
      </w:r>
      <w:r>
        <w:rPr>
          <w:sz w:val="28"/>
          <w:szCs w:val="28"/>
        </w:rPr>
        <w:t>.</w:t>
      </w:r>
      <w:r w:rsidR="00E80D5C">
        <w:rPr>
          <w:sz w:val="28"/>
          <w:szCs w:val="28"/>
        </w:rPr>
        <w:t xml:space="preserve"> </w:t>
      </w:r>
      <w:r w:rsidR="00DE372D">
        <w:rPr>
          <w:sz w:val="28"/>
          <w:szCs w:val="28"/>
        </w:rPr>
        <w:t>Therefore, we</w:t>
      </w:r>
      <w:r w:rsidR="00187C5E">
        <w:rPr>
          <w:sz w:val="28"/>
          <w:szCs w:val="28"/>
        </w:rPr>
        <w:t xml:space="preserve"> needed</w:t>
      </w:r>
      <w:r w:rsidR="00491BFD">
        <w:rPr>
          <w:sz w:val="28"/>
          <w:szCs w:val="28"/>
        </w:rPr>
        <w:t xml:space="preserve"> to </w:t>
      </w:r>
      <w:r w:rsidR="002616B4">
        <w:rPr>
          <w:sz w:val="28"/>
          <w:szCs w:val="28"/>
        </w:rPr>
        <w:t>reintroduce</w:t>
      </w:r>
      <w:r w:rsidR="00491BFD">
        <w:rPr>
          <w:sz w:val="28"/>
          <w:szCs w:val="28"/>
        </w:rPr>
        <w:t xml:space="preserve"> </w:t>
      </w:r>
      <w:r w:rsidR="00F51C2E">
        <w:rPr>
          <w:sz w:val="28"/>
          <w:szCs w:val="28"/>
        </w:rPr>
        <w:t xml:space="preserve">the </w:t>
      </w:r>
      <w:r w:rsidR="00491BFD">
        <w:rPr>
          <w:sz w:val="28"/>
          <w:szCs w:val="28"/>
        </w:rPr>
        <w:t xml:space="preserve">IOP lowering </w:t>
      </w:r>
      <w:r w:rsidR="00187C5E">
        <w:rPr>
          <w:sz w:val="28"/>
          <w:szCs w:val="28"/>
        </w:rPr>
        <w:t>medications for all patients in group P</w:t>
      </w:r>
      <w:r w:rsidR="00C62887">
        <w:rPr>
          <w:sz w:val="28"/>
          <w:szCs w:val="28"/>
        </w:rPr>
        <w:t>h</w:t>
      </w:r>
      <w:r w:rsidR="00491BFD">
        <w:rPr>
          <w:sz w:val="28"/>
          <w:szCs w:val="28"/>
        </w:rPr>
        <w:t xml:space="preserve"> </w:t>
      </w:r>
      <w:r w:rsidR="005412D2">
        <w:rPr>
          <w:sz w:val="28"/>
          <w:szCs w:val="28"/>
        </w:rPr>
        <w:t>with</w:t>
      </w:r>
      <w:r w:rsidR="00491BFD">
        <w:rPr>
          <w:sz w:val="28"/>
          <w:szCs w:val="28"/>
        </w:rPr>
        <w:t xml:space="preserve"> </w:t>
      </w:r>
      <w:r w:rsidR="00187C5E">
        <w:rPr>
          <w:sz w:val="28"/>
          <w:szCs w:val="28"/>
        </w:rPr>
        <w:t xml:space="preserve">no </w:t>
      </w:r>
      <w:r w:rsidR="00491BFD">
        <w:rPr>
          <w:sz w:val="28"/>
          <w:szCs w:val="28"/>
        </w:rPr>
        <w:t xml:space="preserve">significant </w:t>
      </w:r>
      <w:r w:rsidR="0075751C">
        <w:rPr>
          <w:sz w:val="28"/>
          <w:szCs w:val="28"/>
        </w:rPr>
        <w:t>drop</w:t>
      </w:r>
      <w:r w:rsidR="00491BFD">
        <w:rPr>
          <w:sz w:val="28"/>
          <w:szCs w:val="28"/>
        </w:rPr>
        <w:t xml:space="preserve"> in the number of IOP </w:t>
      </w:r>
      <w:r w:rsidR="00187C5E">
        <w:rPr>
          <w:sz w:val="28"/>
          <w:szCs w:val="28"/>
        </w:rPr>
        <w:t>lowering</w:t>
      </w:r>
      <w:r w:rsidR="00491BFD">
        <w:rPr>
          <w:sz w:val="28"/>
          <w:szCs w:val="28"/>
        </w:rPr>
        <w:t xml:space="preserve"> </w:t>
      </w:r>
      <w:r w:rsidR="0075751C">
        <w:rPr>
          <w:sz w:val="28"/>
          <w:szCs w:val="28"/>
        </w:rPr>
        <w:t>medications</w:t>
      </w:r>
      <w:r w:rsidR="00491BFD">
        <w:rPr>
          <w:sz w:val="28"/>
          <w:szCs w:val="28"/>
        </w:rPr>
        <w:t xml:space="preserve"> by the </w:t>
      </w:r>
      <w:r>
        <w:rPr>
          <w:sz w:val="28"/>
          <w:szCs w:val="28"/>
        </w:rPr>
        <w:t>24-month follow-up</w:t>
      </w:r>
      <w:r w:rsidR="00491BFD">
        <w:rPr>
          <w:sz w:val="28"/>
          <w:szCs w:val="28"/>
        </w:rPr>
        <w:t>.</w:t>
      </w:r>
      <w:r w:rsidR="00D16E70">
        <w:rPr>
          <w:sz w:val="28"/>
          <w:szCs w:val="28"/>
        </w:rPr>
        <w:t xml:space="preserve"> </w:t>
      </w:r>
      <w:r w:rsidR="00491BFD">
        <w:rPr>
          <w:sz w:val="28"/>
          <w:szCs w:val="28"/>
        </w:rPr>
        <w:t>In group (</w:t>
      </w:r>
      <w:proofErr w:type="spellStart"/>
      <w:r w:rsidR="00F51C2E">
        <w:rPr>
          <w:sz w:val="28"/>
          <w:szCs w:val="28"/>
        </w:rPr>
        <w:t>P</w:t>
      </w:r>
      <w:r w:rsidR="00C62887">
        <w:rPr>
          <w:sz w:val="28"/>
          <w:szCs w:val="28"/>
        </w:rPr>
        <w:t>h</w:t>
      </w:r>
      <w:r w:rsidR="00F51C2E">
        <w:rPr>
          <w:sz w:val="28"/>
          <w:szCs w:val="28"/>
        </w:rPr>
        <w:t>G</w:t>
      </w:r>
      <w:proofErr w:type="spellEnd"/>
      <w:r w:rsidR="00491BFD">
        <w:rPr>
          <w:sz w:val="28"/>
          <w:szCs w:val="28"/>
        </w:rPr>
        <w:t xml:space="preserve">), </w:t>
      </w:r>
      <w:r w:rsidR="00CF5A1C">
        <w:rPr>
          <w:sz w:val="28"/>
          <w:szCs w:val="28"/>
        </w:rPr>
        <w:t xml:space="preserve">we noted </w:t>
      </w:r>
      <w:r w:rsidR="00E3206D">
        <w:rPr>
          <w:sz w:val="28"/>
          <w:szCs w:val="28"/>
        </w:rPr>
        <w:t xml:space="preserve">a </w:t>
      </w:r>
      <w:r w:rsidR="00491BFD">
        <w:rPr>
          <w:sz w:val="28"/>
          <w:szCs w:val="28"/>
        </w:rPr>
        <w:t xml:space="preserve">significant </w:t>
      </w:r>
      <w:r w:rsidR="00C62887">
        <w:rPr>
          <w:sz w:val="28"/>
          <w:szCs w:val="28"/>
        </w:rPr>
        <w:t>fall</w:t>
      </w:r>
      <w:r w:rsidR="00491BFD">
        <w:rPr>
          <w:sz w:val="28"/>
          <w:szCs w:val="28"/>
        </w:rPr>
        <w:t xml:space="preserve"> in </w:t>
      </w:r>
      <w:r w:rsidR="00ED7D33">
        <w:rPr>
          <w:sz w:val="28"/>
          <w:szCs w:val="28"/>
        </w:rPr>
        <w:t>postoperative</w:t>
      </w:r>
      <w:r w:rsidR="00491BFD">
        <w:rPr>
          <w:sz w:val="28"/>
          <w:szCs w:val="28"/>
        </w:rPr>
        <w:t xml:space="preserve"> IOP </w:t>
      </w:r>
      <w:r w:rsidR="00426B02">
        <w:rPr>
          <w:sz w:val="28"/>
          <w:szCs w:val="28"/>
        </w:rPr>
        <w:t xml:space="preserve">in the first </w:t>
      </w:r>
      <w:r w:rsidR="00CF5A1C">
        <w:rPr>
          <w:sz w:val="28"/>
          <w:szCs w:val="28"/>
        </w:rPr>
        <w:t>follow-up</w:t>
      </w:r>
      <w:r w:rsidR="00426B02">
        <w:rPr>
          <w:sz w:val="28"/>
          <w:szCs w:val="28"/>
        </w:rPr>
        <w:t xml:space="preserve"> week</w:t>
      </w:r>
      <w:r w:rsidR="005412D2">
        <w:rPr>
          <w:sz w:val="28"/>
          <w:szCs w:val="28"/>
        </w:rPr>
        <w:t xml:space="preserve"> from </w:t>
      </w:r>
      <w:r w:rsidR="005412D2" w:rsidRPr="005412D2">
        <w:rPr>
          <w:sz w:val="28"/>
          <w:szCs w:val="28"/>
        </w:rPr>
        <w:t>34±0.29</w:t>
      </w:r>
      <w:r w:rsidR="006C04A5">
        <w:rPr>
          <w:sz w:val="28"/>
          <w:szCs w:val="28"/>
        </w:rPr>
        <w:t xml:space="preserve"> and </w:t>
      </w:r>
      <w:r w:rsidR="006C04A5" w:rsidRPr="005412D2">
        <w:rPr>
          <w:sz w:val="28"/>
          <w:szCs w:val="28"/>
        </w:rPr>
        <w:t>31±0.9</w:t>
      </w:r>
      <w:r w:rsidR="005412D2" w:rsidRPr="005412D2">
        <w:rPr>
          <w:sz w:val="28"/>
          <w:szCs w:val="28"/>
        </w:rPr>
        <w:t xml:space="preserve"> to 26±1.2</w:t>
      </w:r>
      <w:r w:rsidR="005412D2">
        <w:rPr>
          <w:sz w:val="28"/>
          <w:szCs w:val="28"/>
        </w:rPr>
        <w:t xml:space="preserve"> </w:t>
      </w:r>
      <w:r w:rsidR="006C04A5">
        <w:rPr>
          <w:sz w:val="28"/>
          <w:szCs w:val="28"/>
        </w:rPr>
        <w:t xml:space="preserve">and </w:t>
      </w:r>
      <w:r w:rsidR="006C04A5" w:rsidRPr="005412D2">
        <w:rPr>
          <w:sz w:val="28"/>
          <w:szCs w:val="28"/>
        </w:rPr>
        <w:t xml:space="preserve">14±0.9 </w:t>
      </w:r>
      <w:r w:rsidR="005412D2">
        <w:rPr>
          <w:sz w:val="28"/>
          <w:szCs w:val="28"/>
        </w:rPr>
        <w:t>mmHg</w:t>
      </w:r>
      <w:r w:rsidR="005412D2" w:rsidRPr="005412D2">
        <w:rPr>
          <w:sz w:val="28"/>
          <w:szCs w:val="28"/>
        </w:rPr>
        <w:t xml:space="preserve"> in </w:t>
      </w:r>
      <w:r w:rsidR="00CF5A1C">
        <w:rPr>
          <w:sz w:val="28"/>
          <w:szCs w:val="28"/>
        </w:rPr>
        <w:t>groups</w:t>
      </w:r>
      <w:r w:rsidR="005412D2" w:rsidRPr="005412D2">
        <w:rPr>
          <w:sz w:val="28"/>
          <w:szCs w:val="28"/>
        </w:rPr>
        <w:t xml:space="preserve"> </w:t>
      </w:r>
      <w:proofErr w:type="spellStart"/>
      <w:r w:rsidR="00F51C2E">
        <w:rPr>
          <w:sz w:val="28"/>
          <w:szCs w:val="28"/>
        </w:rPr>
        <w:t>P</w:t>
      </w:r>
      <w:r w:rsidR="00C62887">
        <w:rPr>
          <w:sz w:val="28"/>
          <w:szCs w:val="28"/>
        </w:rPr>
        <w:t>h</w:t>
      </w:r>
      <w:r w:rsidR="00F51C2E">
        <w:rPr>
          <w:sz w:val="28"/>
          <w:szCs w:val="28"/>
        </w:rPr>
        <w:t>G</w:t>
      </w:r>
      <w:r w:rsidR="005412D2" w:rsidRPr="005412D2">
        <w:rPr>
          <w:sz w:val="28"/>
          <w:szCs w:val="28"/>
        </w:rPr>
        <w:t>s</w:t>
      </w:r>
      <w:proofErr w:type="spellEnd"/>
      <w:r w:rsidR="006C04A5">
        <w:rPr>
          <w:sz w:val="28"/>
          <w:szCs w:val="28"/>
        </w:rPr>
        <w:t xml:space="preserve"> and </w:t>
      </w:r>
      <w:proofErr w:type="spellStart"/>
      <w:r w:rsidR="006C04A5">
        <w:rPr>
          <w:sz w:val="28"/>
          <w:szCs w:val="28"/>
        </w:rPr>
        <w:t>PhGm</w:t>
      </w:r>
      <w:proofErr w:type="spellEnd"/>
      <w:r w:rsidR="00D16E70">
        <w:rPr>
          <w:sz w:val="28"/>
          <w:szCs w:val="28"/>
        </w:rPr>
        <w:t>,</w:t>
      </w:r>
      <w:r w:rsidR="005412D2" w:rsidRPr="005412D2">
        <w:rPr>
          <w:sz w:val="28"/>
          <w:szCs w:val="28"/>
        </w:rPr>
        <w:t xml:space="preserve"> respectively</w:t>
      </w:r>
      <w:r w:rsidR="008C5E2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C5E26">
        <w:rPr>
          <w:sz w:val="28"/>
          <w:szCs w:val="28"/>
        </w:rPr>
        <w:t>P-value &lt;0.</w:t>
      </w:r>
      <w:r w:rsidR="00F24452">
        <w:rPr>
          <w:sz w:val="28"/>
          <w:szCs w:val="28"/>
        </w:rPr>
        <w:t>0</w:t>
      </w:r>
      <w:r w:rsidR="008C5E26">
        <w:rPr>
          <w:sz w:val="28"/>
          <w:szCs w:val="28"/>
        </w:rPr>
        <w:t>001)</w:t>
      </w:r>
      <w:r w:rsidR="005412D2">
        <w:rPr>
          <w:sz w:val="20"/>
          <w:szCs w:val="20"/>
        </w:rPr>
        <w:t>.</w:t>
      </w:r>
      <w:r w:rsidR="00D16E70">
        <w:rPr>
          <w:sz w:val="20"/>
          <w:szCs w:val="20"/>
        </w:rPr>
        <w:t xml:space="preserve"> </w:t>
      </w:r>
      <w:r w:rsidR="00491BFD">
        <w:rPr>
          <w:sz w:val="28"/>
          <w:szCs w:val="28"/>
        </w:rPr>
        <w:t xml:space="preserve">Patients </w:t>
      </w:r>
      <w:r w:rsidR="00CF5A1C">
        <w:rPr>
          <w:sz w:val="28"/>
          <w:szCs w:val="28"/>
        </w:rPr>
        <w:t xml:space="preserve">in Pm and </w:t>
      </w:r>
      <w:proofErr w:type="spellStart"/>
      <w:r w:rsidR="00CF5A1C">
        <w:rPr>
          <w:sz w:val="28"/>
          <w:szCs w:val="28"/>
        </w:rPr>
        <w:t>P</w:t>
      </w:r>
      <w:r w:rsidR="00C62887">
        <w:rPr>
          <w:sz w:val="28"/>
          <w:szCs w:val="28"/>
        </w:rPr>
        <w:t>h</w:t>
      </w:r>
      <w:r w:rsidR="00CF5A1C">
        <w:rPr>
          <w:sz w:val="28"/>
          <w:szCs w:val="28"/>
        </w:rPr>
        <w:t>Gm</w:t>
      </w:r>
      <w:proofErr w:type="spellEnd"/>
      <w:r w:rsidR="00CF5A1C">
        <w:rPr>
          <w:sz w:val="28"/>
          <w:szCs w:val="28"/>
        </w:rPr>
        <w:t xml:space="preserve"> groups</w:t>
      </w:r>
      <w:r w:rsidR="00491BFD">
        <w:rPr>
          <w:sz w:val="28"/>
          <w:szCs w:val="28"/>
        </w:rPr>
        <w:t xml:space="preserve"> stopped all IOP lowering </w:t>
      </w:r>
      <w:r w:rsidR="00C62887">
        <w:rPr>
          <w:sz w:val="28"/>
          <w:szCs w:val="28"/>
        </w:rPr>
        <w:t>medications</w:t>
      </w:r>
      <w:r w:rsidR="002A6284">
        <w:rPr>
          <w:sz w:val="28"/>
          <w:szCs w:val="28"/>
        </w:rPr>
        <w:t>,</w:t>
      </w:r>
      <w:r w:rsidR="00491BFD">
        <w:rPr>
          <w:sz w:val="28"/>
          <w:szCs w:val="28"/>
        </w:rPr>
        <w:t xml:space="preserve"> while those </w:t>
      </w:r>
      <w:r w:rsidR="00CF5A1C">
        <w:rPr>
          <w:sz w:val="28"/>
          <w:szCs w:val="28"/>
        </w:rPr>
        <w:t xml:space="preserve">in </w:t>
      </w:r>
      <w:proofErr w:type="spellStart"/>
      <w:r w:rsidR="00CF5A1C">
        <w:rPr>
          <w:sz w:val="28"/>
          <w:szCs w:val="28"/>
        </w:rPr>
        <w:t>P</w:t>
      </w:r>
      <w:r w:rsidR="00C62887">
        <w:rPr>
          <w:sz w:val="28"/>
          <w:szCs w:val="28"/>
        </w:rPr>
        <w:t>h</w:t>
      </w:r>
      <w:r w:rsidR="00CF5A1C">
        <w:rPr>
          <w:sz w:val="28"/>
          <w:szCs w:val="28"/>
        </w:rPr>
        <w:t>s</w:t>
      </w:r>
      <w:proofErr w:type="spellEnd"/>
      <w:r w:rsidR="00CF5A1C">
        <w:rPr>
          <w:sz w:val="28"/>
          <w:szCs w:val="28"/>
        </w:rPr>
        <w:t xml:space="preserve"> and </w:t>
      </w:r>
      <w:proofErr w:type="spellStart"/>
      <w:r w:rsidR="00CF5A1C">
        <w:rPr>
          <w:sz w:val="28"/>
          <w:szCs w:val="28"/>
        </w:rPr>
        <w:t>P</w:t>
      </w:r>
      <w:r w:rsidR="00C62887">
        <w:rPr>
          <w:sz w:val="28"/>
          <w:szCs w:val="28"/>
        </w:rPr>
        <w:t>h</w:t>
      </w:r>
      <w:r w:rsidR="00CF5A1C">
        <w:rPr>
          <w:sz w:val="28"/>
          <w:szCs w:val="28"/>
        </w:rPr>
        <w:t>Gs</w:t>
      </w:r>
      <w:proofErr w:type="spellEnd"/>
      <w:r w:rsidR="00CF5A1C">
        <w:rPr>
          <w:sz w:val="28"/>
          <w:szCs w:val="28"/>
        </w:rPr>
        <w:t xml:space="preserve"> groups</w:t>
      </w:r>
      <w:r w:rsidR="00491BFD">
        <w:rPr>
          <w:sz w:val="28"/>
          <w:szCs w:val="28"/>
        </w:rPr>
        <w:t xml:space="preserve"> needed </w:t>
      </w:r>
      <w:r w:rsidR="00C62887">
        <w:rPr>
          <w:sz w:val="28"/>
          <w:szCs w:val="28"/>
        </w:rPr>
        <w:t>less</w:t>
      </w:r>
      <w:r w:rsidR="00491BFD">
        <w:rPr>
          <w:sz w:val="28"/>
          <w:szCs w:val="28"/>
        </w:rPr>
        <w:t xml:space="preserve"> medications</w:t>
      </w:r>
      <w:r w:rsidR="005412D2">
        <w:rPr>
          <w:sz w:val="28"/>
          <w:szCs w:val="28"/>
        </w:rPr>
        <w:t xml:space="preserve"> by the end of </w:t>
      </w:r>
      <w:r w:rsidR="00C62887">
        <w:rPr>
          <w:sz w:val="28"/>
          <w:szCs w:val="28"/>
        </w:rPr>
        <w:t>follow-up period</w:t>
      </w:r>
      <w:r w:rsidR="00491BFD">
        <w:rPr>
          <w:sz w:val="28"/>
          <w:szCs w:val="28"/>
        </w:rPr>
        <w:t>.</w:t>
      </w:r>
    </w:p>
    <w:p w14:paraId="4BA00BA8" w14:textId="55EC1049" w:rsidR="00491BFD" w:rsidRDefault="00491BFD" w:rsidP="00B552B8">
      <w:pPr>
        <w:spacing w:line="480" w:lineRule="auto"/>
        <w:ind w:firstLine="567"/>
        <w:jc w:val="both"/>
        <w:rPr>
          <w:sz w:val="28"/>
          <w:szCs w:val="28"/>
        </w:rPr>
      </w:pPr>
    </w:p>
    <w:p w14:paraId="5C399BB5" w14:textId="6DD14A24" w:rsidR="00491BFD" w:rsidRPr="00491BFD" w:rsidRDefault="00491BFD" w:rsidP="00B552B8">
      <w:pPr>
        <w:spacing w:line="480" w:lineRule="auto"/>
        <w:jc w:val="both"/>
        <w:rPr>
          <w:b/>
          <w:bCs/>
          <w:sz w:val="28"/>
          <w:szCs w:val="28"/>
        </w:rPr>
      </w:pPr>
      <w:r w:rsidRPr="00491BFD">
        <w:rPr>
          <w:b/>
          <w:bCs/>
          <w:sz w:val="28"/>
          <w:szCs w:val="28"/>
        </w:rPr>
        <w:t>Conclusion:</w:t>
      </w:r>
    </w:p>
    <w:p w14:paraId="1116293C" w14:textId="081CCDD4" w:rsidR="00491BFD" w:rsidRDefault="001015A6" w:rsidP="00B552B8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Combined </w:t>
      </w:r>
      <w:proofErr w:type="spellStart"/>
      <w:r w:rsidR="0075751C">
        <w:rPr>
          <w:sz w:val="28"/>
          <w:szCs w:val="28"/>
        </w:rPr>
        <w:t>P</w:t>
      </w:r>
      <w:r w:rsidR="00491BFD">
        <w:rPr>
          <w:sz w:val="28"/>
          <w:szCs w:val="28"/>
        </w:rPr>
        <w:t>haco</w:t>
      </w:r>
      <w:proofErr w:type="spellEnd"/>
      <w:r w:rsidR="00491BFD">
        <w:rPr>
          <w:sz w:val="28"/>
          <w:szCs w:val="28"/>
        </w:rPr>
        <w:t xml:space="preserve">-goniotomy </w:t>
      </w:r>
      <w:r w:rsidR="001C46DB">
        <w:rPr>
          <w:sz w:val="28"/>
          <w:szCs w:val="28"/>
        </w:rPr>
        <w:t>shows higher efficacy with a good safety profile when compared</w:t>
      </w:r>
      <w:r w:rsidR="00491BFD">
        <w:rPr>
          <w:sz w:val="28"/>
          <w:szCs w:val="28"/>
        </w:rPr>
        <w:t xml:space="preserve"> to phacoemulsification in POAG</w:t>
      </w:r>
      <w:r w:rsidR="0075751C">
        <w:rPr>
          <w:sz w:val="28"/>
          <w:szCs w:val="28"/>
        </w:rPr>
        <w:t xml:space="preserve"> patients</w:t>
      </w:r>
      <w:r w:rsidR="00491BFD">
        <w:rPr>
          <w:sz w:val="28"/>
          <w:szCs w:val="28"/>
        </w:rPr>
        <w:t xml:space="preserve"> </w:t>
      </w:r>
      <w:r w:rsidR="0075751C">
        <w:rPr>
          <w:sz w:val="28"/>
          <w:szCs w:val="28"/>
        </w:rPr>
        <w:t>regarding</w:t>
      </w:r>
      <w:r w:rsidR="00491BFD">
        <w:rPr>
          <w:sz w:val="28"/>
          <w:szCs w:val="28"/>
        </w:rPr>
        <w:t xml:space="preserve"> IOP control</w:t>
      </w:r>
      <w:r w:rsidR="002A6284">
        <w:rPr>
          <w:sz w:val="28"/>
          <w:szCs w:val="28"/>
        </w:rPr>
        <w:t>,</w:t>
      </w:r>
      <w:r w:rsidR="005412D2">
        <w:rPr>
          <w:sz w:val="28"/>
          <w:szCs w:val="28"/>
        </w:rPr>
        <w:t xml:space="preserve"> </w:t>
      </w:r>
      <w:r w:rsidR="0075751C">
        <w:rPr>
          <w:sz w:val="28"/>
          <w:szCs w:val="28"/>
        </w:rPr>
        <w:t>particularly</w:t>
      </w:r>
      <w:r w:rsidR="005412D2">
        <w:rPr>
          <w:sz w:val="28"/>
          <w:szCs w:val="28"/>
        </w:rPr>
        <w:t xml:space="preserve"> </w:t>
      </w:r>
      <w:r w:rsidR="0075751C">
        <w:rPr>
          <w:sz w:val="28"/>
          <w:szCs w:val="28"/>
        </w:rPr>
        <w:t>the</w:t>
      </w:r>
      <w:r w:rsidR="005412D2">
        <w:rPr>
          <w:sz w:val="28"/>
          <w:szCs w:val="28"/>
        </w:rPr>
        <w:t xml:space="preserve"> moderate POAG</w:t>
      </w:r>
      <w:r w:rsidR="00491BFD">
        <w:rPr>
          <w:sz w:val="28"/>
          <w:szCs w:val="28"/>
        </w:rPr>
        <w:t>.</w:t>
      </w:r>
    </w:p>
    <w:p w14:paraId="11546CD7" w14:textId="6EE02B66" w:rsidR="003C77D4" w:rsidRDefault="003C77D4" w:rsidP="00B552B8">
      <w:pPr>
        <w:spacing w:line="480" w:lineRule="auto"/>
        <w:ind w:firstLine="567"/>
        <w:jc w:val="both"/>
        <w:rPr>
          <w:sz w:val="28"/>
          <w:szCs w:val="28"/>
        </w:rPr>
      </w:pPr>
    </w:p>
    <w:p w14:paraId="28EDEA35" w14:textId="58D09660" w:rsidR="003C77D4" w:rsidRDefault="002A6284" w:rsidP="00E06EBC">
      <w:pPr>
        <w:spacing w:line="48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Keywords</w:t>
      </w:r>
      <w:r w:rsidR="003C77D4">
        <w:rPr>
          <w:sz w:val="28"/>
          <w:szCs w:val="28"/>
        </w:rPr>
        <w:t>:</w:t>
      </w:r>
      <w:r w:rsidR="009A611D">
        <w:rPr>
          <w:sz w:val="28"/>
          <w:szCs w:val="28"/>
        </w:rPr>
        <w:t xml:space="preserve"> </w:t>
      </w:r>
      <w:r w:rsidR="002A4B95">
        <w:rPr>
          <w:sz w:val="28"/>
          <w:szCs w:val="28"/>
        </w:rPr>
        <w:t xml:space="preserve">Goniotomy, </w:t>
      </w:r>
      <w:proofErr w:type="gramStart"/>
      <w:r w:rsidR="009A611D">
        <w:rPr>
          <w:sz w:val="28"/>
          <w:szCs w:val="28"/>
        </w:rPr>
        <w:t>Phacoemulsification ,</w:t>
      </w:r>
      <w:proofErr w:type="gramEnd"/>
      <w:r w:rsidR="009A611D">
        <w:rPr>
          <w:sz w:val="28"/>
          <w:szCs w:val="28"/>
        </w:rPr>
        <w:t xml:space="preserve"> IOP, </w:t>
      </w:r>
      <w:r w:rsidR="002A4B95">
        <w:rPr>
          <w:sz w:val="28"/>
          <w:szCs w:val="28"/>
        </w:rPr>
        <w:t>Glaucoma</w:t>
      </w:r>
      <w:r w:rsidR="009A611D">
        <w:rPr>
          <w:sz w:val="28"/>
          <w:szCs w:val="28"/>
        </w:rPr>
        <w:t>, Medications.</w:t>
      </w:r>
    </w:p>
    <w:p w14:paraId="02E548B0" w14:textId="67C459CA" w:rsidR="00943EF3" w:rsidRDefault="00943EF3" w:rsidP="00B552B8">
      <w:pPr>
        <w:spacing w:line="480" w:lineRule="auto"/>
        <w:ind w:firstLine="567"/>
        <w:jc w:val="both"/>
        <w:rPr>
          <w:sz w:val="28"/>
          <w:szCs w:val="28"/>
        </w:rPr>
      </w:pPr>
    </w:p>
    <w:p w14:paraId="72B597A9" w14:textId="1BD1ADF8" w:rsidR="00DA7ED3" w:rsidRDefault="00DA7ED3" w:rsidP="00B552B8">
      <w:pPr>
        <w:spacing w:line="480" w:lineRule="auto"/>
        <w:ind w:firstLine="567"/>
        <w:jc w:val="both"/>
        <w:rPr>
          <w:sz w:val="28"/>
          <w:szCs w:val="28"/>
        </w:rPr>
      </w:pPr>
    </w:p>
    <w:p w14:paraId="560BD31E" w14:textId="264FCC33" w:rsidR="00DA7ED3" w:rsidRDefault="00DA7ED3" w:rsidP="00B552B8">
      <w:pPr>
        <w:spacing w:line="480" w:lineRule="auto"/>
        <w:ind w:firstLine="567"/>
        <w:jc w:val="both"/>
        <w:rPr>
          <w:sz w:val="28"/>
          <w:szCs w:val="28"/>
        </w:rPr>
      </w:pPr>
    </w:p>
    <w:p w14:paraId="5E5989A8" w14:textId="77777777" w:rsidR="00DA7ED3" w:rsidRDefault="00DA7ED3" w:rsidP="00B552B8">
      <w:pPr>
        <w:spacing w:line="480" w:lineRule="auto"/>
        <w:ind w:firstLine="567"/>
        <w:jc w:val="both"/>
        <w:rPr>
          <w:sz w:val="28"/>
          <w:szCs w:val="28"/>
        </w:rPr>
      </w:pPr>
    </w:p>
    <w:p w14:paraId="0A81B559" w14:textId="2D16CE68" w:rsidR="00943EF3" w:rsidRDefault="00943EF3" w:rsidP="00B552B8">
      <w:pPr>
        <w:spacing w:line="480" w:lineRule="auto"/>
        <w:ind w:firstLine="567"/>
        <w:jc w:val="both"/>
        <w:rPr>
          <w:sz w:val="28"/>
          <w:szCs w:val="28"/>
        </w:rPr>
      </w:pPr>
    </w:p>
    <w:p w14:paraId="19197728" w14:textId="77777777" w:rsidR="00943EF3" w:rsidRPr="002C48DA" w:rsidRDefault="00943EF3" w:rsidP="00B552B8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</w:rPr>
      </w:pPr>
      <w:r>
        <w:rPr>
          <w:rFonts w:cstheme="minorHAnsi"/>
          <w:b/>
          <w:bCs/>
          <w:sz w:val="32"/>
          <w:szCs w:val="32"/>
        </w:rPr>
        <w:t>Strengths and Limitations of this study:</w:t>
      </w:r>
    </w:p>
    <w:p w14:paraId="00FCF361" w14:textId="2F07C4B3" w:rsidR="00943EF3" w:rsidRDefault="00243D8C" w:rsidP="00E06E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0" w:hanging="11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In </w:t>
      </w:r>
      <w:r w:rsidR="009A611D">
        <w:rPr>
          <w:rFonts w:asciiTheme="majorBidi" w:hAnsiTheme="majorBidi" w:cstheme="majorBidi"/>
        </w:rPr>
        <w:t>our</w:t>
      </w:r>
      <w:r>
        <w:rPr>
          <w:rFonts w:asciiTheme="majorBidi" w:hAnsiTheme="majorBidi" w:cstheme="majorBidi"/>
        </w:rPr>
        <w:t xml:space="preserve"> </w:t>
      </w:r>
      <w:r w:rsidR="003F3C25">
        <w:rPr>
          <w:rFonts w:asciiTheme="majorBidi" w:hAnsiTheme="majorBidi" w:cstheme="majorBidi"/>
        </w:rPr>
        <w:t>research</w:t>
      </w:r>
      <w:r>
        <w:rPr>
          <w:rFonts w:asciiTheme="majorBidi" w:hAnsiTheme="majorBidi" w:cstheme="majorBidi"/>
        </w:rPr>
        <w:t xml:space="preserve">, we </w:t>
      </w:r>
      <w:r w:rsidR="00152213">
        <w:rPr>
          <w:rFonts w:asciiTheme="majorBidi" w:hAnsiTheme="majorBidi" w:cstheme="majorBidi"/>
        </w:rPr>
        <w:t>divided</w:t>
      </w:r>
      <w:r>
        <w:rPr>
          <w:rFonts w:asciiTheme="majorBidi" w:hAnsiTheme="majorBidi" w:cstheme="majorBidi"/>
        </w:rPr>
        <w:t xml:space="preserve"> the patients into </w:t>
      </w:r>
      <w:r w:rsidR="009A611D">
        <w:rPr>
          <w:rFonts w:asciiTheme="majorBidi" w:hAnsiTheme="majorBidi" w:cstheme="majorBidi"/>
        </w:rPr>
        <w:t>severe</w:t>
      </w:r>
      <w:r>
        <w:rPr>
          <w:rFonts w:asciiTheme="majorBidi" w:hAnsiTheme="majorBidi" w:cstheme="majorBidi"/>
        </w:rPr>
        <w:t xml:space="preserve"> and </w:t>
      </w:r>
      <w:r w:rsidR="009A611D">
        <w:rPr>
          <w:rFonts w:asciiTheme="majorBidi" w:hAnsiTheme="majorBidi" w:cstheme="majorBidi"/>
        </w:rPr>
        <w:t>moderate</w:t>
      </w:r>
      <w:r>
        <w:rPr>
          <w:rFonts w:asciiTheme="majorBidi" w:hAnsiTheme="majorBidi" w:cstheme="majorBidi"/>
        </w:rPr>
        <w:t xml:space="preserve"> </w:t>
      </w:r>
      <w:r w:rsidR="002616B4">
        <w:rPr>
          <w:rFonts w:asciiTheme="majorBidi" w:hAnsiTheme="majorBidi" w:cstheme="majorBidi"/>
        </w:rPr>
        <w:t xml:space="preserve">glaucoma </w:t>
      </w:r>
      <w:r w:rsidR="009A611D">
        <w:rPr>
          <w:rFonts w:asciiTheme="majorBidi" w:hAnsiTheme="majorBidi" w:cstheme="majorBidi"/>
        </w:rPr>
        <w:t>groups</w:t>
      </w:r>
      <w:r>
        <w:rPr>
          <w:rFonts w:asciiTheme="majorBidi" w:hAnsiTheme="majorBidi" w:cstheme="majorBidi"/>
        </w:rPr>
        <w:t xml:space="preserve"> to assess the </w:t>
      </w:r>
      <w:r w:rsidR="003F3C25">
        <w:rPr>
          <w:rFonts w:asciiTheme="majorBidi" w:hAnsiTheme="majorBidi" w:cstheme="majorBidi"/>
        </w:rPr>
        <w:t>effect</w:t>
      </w:r>
      <w:r>
        <w:rPr>
          <w:rFonts w:asciiTheme="majorBidi" w:hAnsiTheme="majorBidi" w:cstheme="majorBidi"/>
        </w:rPr>
        <w:t xml:space="preserve"> of goniotomy on the IOP in </w:t>
      </w:r>
      <w:r w:rsidR="003F3C25">
        <w:rPr>
          <w:rFonts w:asciiTheme="majorBidi" w:hAnsiTheme="majorBidi" w:cstheme="majorBidi"/>
        </w:rPr>
        <w:t>the study</w:t>
      </w:r>
      <w:r>
        <w:rPr>
          <w:rFonts w:asciiTheme="majorBidi" w:hAnsiTheme="majorBidi" w:cstheme="majorBidi"/>
        </w:rPr>
        <w:t xml:space="preserve"> groups</w:t>
      </w:r>
      <w:r w:rsidR="00943EF3">
        <w:rPr>
          <w:rFonts w:asciiTheme="majorBidi" w:hAnsiTheme="majorBidi" w:cstheme="majorBidi"/>
        </w:rPr>
        <w:t>.</w:t>
      </w:r>
      <w:r w:rsidR="00D16E70">
        <w:rPr>
          <w:rFonts w:asciiTheme="majorBidi" w:hAnsiTheme="majorBidi" w:cstheme="majorBidi"/>
        </w:rPr>
        <w:t xml:space="preserve"> </w:t>
      </w:r>
      <w:r w:rsidR="009A611D">
        <w:rPr>
          <w:rFonts w:asciiTheme="majorBidi" w:hAnsiTheme="majorBidi" w:cstheme="majorBidi"/>
        </w:rPr>
        <w:t xml:space="preserve">This is the first study to </w:t>
      </w:r>
      <w:r w:rsidR="00D01EB0">
        <w:rPr>
          <w:rFonts w:asciiTheme="majorBidi" w:hAnsiTheme="majorBidi" w:cstheme="majorBidi"/>
        </w:rPr>
        <w:t>compar</w:t>
      </w:r>
      <w:r w:rsidR="009A611D">
        <w:rPr>
          <w:rFonts w:asciiTheme="majorBidi" w:hAnsiTheme="majorBidi" w:cstheme="majorBidi"/>
        </w:rPr>
        <w:t>e</w:t>
      </w:r>
      <w:r w:rsidR="00D01EB0">
        <w:rPr>
          <w:rFonts w:asciiTheme="majorBidi" w:hAnsiTheme="majorBidi" w:cstheme="majorBidi"/>
        </w:rPr>
        <w:t xml:space="preserve"> the effect of goniotomy on </w:t>
      </w:r>
      <w:r w:rsidR="003F3C25">
        <w:rPr>
          <w:rFonts w:asciiTheme="majorBidi" w:hAnsiTheme="majorBidi" w:cstheme="majorBidi"/>
        </w:rPr>
        <w:t>various</w:t>
      </w:r>
      <w:r w:rsidR="00D01EB0">
        <w:rPr>
          <w:rFonts w:asciiTheme="majorBidi" w:hAnsiTheme="majorBidi" w:cstheme="majorBidi"/>
        </w:rPr>
        <w:t xml:space="preserve"> glaucoma </w:t>
      </w:r>
      <w:r w:rsidR="009A611D">
        <w:rPr>
          <w:rFonts w:asciiTheme="majorBidi" w:hAnsiTheme="majorBidi" w:cstheme="majorBidi"/>
        </w:rPr>
        <w:t>severities</w:t>
      </w:r>
      <w:r w:rsidR="00D01EB0">
        <w:rPr>
          <w:rFonts w:asciiTheme="majorBidi" w:hAnsiTheme="majorBidi" w:cstheme="majorBidi"/>
        </w:rPr>
        <w:t>.</w:t>
      </w:r>
    </w:p>
    <w:p w14:paraId="03118C69" w14:textId="5BEC1A5B" w:rsidR="00943EF3" w:rsidRDefault="003F3C25" w:rsidP="00B552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0" w:hanging="11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 </w:t>
      </w:r>
      <w:r w:rsidR="009A611D">
        <w:rPr>
          <w:rFonts w:asciiTheme="majorBidi" w:hAnsiTheme="majorBidi" w:cstheme="majorBidi"/>
        </w:rPr>
        <w:t xml:space="preserve">good strength </w:t>
      </w:r>
      <w:r w:rsidR="00D16E70">
        <w:rPr>
          <w:rFonts w:asciiTheme="majorBidi" w:hAnsiTheme="majorBidi" w:cstheme="majorBidi"/>
        </w:rPr>
        <w:t xml:space="preserve">point </w:t>
      </w:r>
      <w:r w:rsidR="00243D8C">
        <w:rPr>
          <w:rFonts w:asciiTheme="majorBidi" w:hAnsiTheme="majorBidi" w:cstheme="majorBidi"/>
        </w:rPr>
        <w:t xml:space="preserve">for </w:t>
      </w:r>
      <w:r w:rsidR="009A611D">
        <w:rPr>
          <w:rFonts w:asciiTheme="majorBidi" w:hAnsiTheme="majorBidi" w:cstheme="majorBidi"/>
        </w:rPr>
        <w:t>this</w:t>
      </w:r>
      <w:r w:rsidR="00243D8C">
        <w:rPr>
          <w:rFonts w:asciiTheme="majorBidi" w:hAnsiTheme="majorBidi" w:cstheme="majorBidi"/>
        </w:rPr>
        <w:t xml:space="preserve"> study</w:t>
      </w:r>
      <w:r>
        <w:rPr>
          <w:rFonts w:asciiTheme="majorBidi" w:hAnsiTheme="majorBidi" w:cstheme="majorBidi"/>
        </w:rPr>
        <w:t xml:space="preserve"> is t</w:t>
      </w:r>
      <w:r w:rsidRPr="00431D23">
        <w:rPr>
          <w:rFonts w:asciiTheme="majorBidi" w:hAnsiTheme="majorBidi" w:cstheme="majorBidi"/>
        </w:rPr>
        <w:t xml:space="preserve">he </w:t>
      </w:r>
      <w:r>
        <w:rPr>
          <w:rFonts w:asciiTheme="majorBidi" w:hAnsiTheme="majorBidi" w:cstheme="majorBidi"/>
        </w:rPr>
        <w:t>long follow-up (24 months) period.</w:t>
      </w:r>
    </w:p>
    <w:p w14:paraId="53444627" w14:textId="78BF85A8" w:rsidR="00943EF3" w:rsidRDefault="003F3C25" w:rsidP="00B552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0" w:hanging="11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</w:t>
      </w:r>
      <w:r w:rsidR="009A611D">
        <w:rPr>
          <w:rFonts w:asciiTheme="majorBidi" w:hAnsiTheme="majorBidi" w:cstheme="majorBidi"/>
        </w:rPr>
        <w:t xml:space="preserve">ingle center setting, and </w:t>
      </w:r>
      <w:r w:rsidR="00D01EB0">
        <w:rPr>
          <w:rFonts w:asciiTheme="majorBidi" w:hAnsiTheme="majorBidi" w:cstheme="majorBidi"/>
        </w:rPr>
        <w:t xml:space="preserve">small sample size of </w:t>
      </w:r>
      <w:r w:rsidR="009A611D">
        <w:rPr>
          <w:rFonts w:asciiTheme="majorBidi" w:hAnsiTheme="majorBidi" w:cstheme="majorBidi"/>
        </w:rPr>
        <w:t>our</w:t>
      </w:r>
      <w:r w:rsidR="00D01EB0">
        <w:rPr>
          <w:rFonts w:asciiTheme="majorBidi" w:hAnsiTheme="majorBidi" w:cstheme="majorBidi"/>
        </w:rPr>
        <w:t xml:space="preserve"> study are the main</w:t>
      </w:r>
      <w:r w:rsidR="00943EF3">
        <w:rPr>
          <w:rFonts w:asciiTheme="majorBidi" w:hAnsiTheme="majorBidi" w:cstheme="majorBidi"/>
        </w:rPr>
        <w:t xml:space="preserve"> limitation</w:t>
      </w:r>
      <w:r w:rsidR="00D01EB0">
        <w:rPr>
          <w:rFonts w:asciiTheme="majorBidi" w:hAnsiTheme="majorBidi" w:cstheme="majorBidi"/>
        </w:rPr>
        <w:t>s</w:t>
      </w:r>
      <w:r w:rsidR="00943EF3" w:rsidRPr="00431D23">
        <w:rPr>
          <w:rFonts w:asciiTheme="majorBidi" w:hAnsiTheme="majorBidi" w:cstheme="majorBidi"/>
        </w:rPr>
        <w:t xml:space="preserve">. </w:t>
      </w:r>
    </w:p>
    <w:p w14:paraId="43DD16CB" w14:textId="13C0484F" w:rsidR="00594C3D" w:rsidRDefault="00594C3D" w:rsidP="00B552B8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</w:rPr>
      </w:pPr>
    </w:p>
    <w:p w14:paraId="7A257A4D" w14:textId="466E246C" w:rsidR="00594C3D" w:rsidRDefault="00594C3D" w:rsidP="00E06EBC">
      <w:pPr>
        <w:autoSpaceDE w:val="0"/>
        <w:autoSpaceDN w:val="0"/>
        <w:adjustRightInd w:val="0"/>
        <w:spacing w:line="480" w:lineRule="auto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Summary</w:t>
      </w:r>
    </w:p>
    <w:p w14:paraId="0AD1D669" w14:textId="0BE3381E" w:rsidR="00594C3D" w:rsidRDefault="00594C3D" w:rsidP="00E06EBC">
      <w:pPr>
        <w:autoSpaceDE w:val="0"/>
        <w:autoSpaceDN w:val="0"/>
        <w:adjustRightInd w:val="0"/>
        <w:spacing w:line="480" w:lineRule="auto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Primary outcome: </w:t>
      </w:r>
    </w:p>
    <w:p w14:paraId="2F1B2621" w14:textId="7156AD66" w:rsidR="00594C3D" w:rsidRPr="00594C3D" w:rsidRDefault="00594C3D" w:rsidP="009A611D">
      <w:pPr>
        <w:autoSpaceDE w:val="0"/>
        <w:autoSpaceDN w:val="0"/>
        <w:adjustRightInd w:val="0"/>
        <w:spacing w:line="480" w:lineRule="auto"/>
        <w:ind w:firstLine="567"/>
        <w:jc w:val="both"/>
        <w:rPr>
          <w:rFonts w:cstheme="minorHAnsi"/>
        </w:rPr>
      </w:pPr>
      <w:r w:rsidRPr="0055525B">
        <w:rPr>
          <w:rFonts w:cstheme="minorHAnsi"/>
        </w:rPr>
        <w:t xml:space="preserve">We </w:t>
      </w:r>
      <w:r w:rsidR="009A611D">
        <w:rPr>
          <w:rFonts w:cstheme="minorHAnsi"/>
        </w:rPr>
        <w:t>targeted</w:t>
      </w:r>
      <w:r w:rsidRPr="0055525B">
        <w:rPr>
          <w:rFonts w:cstheme="minorHAnsi"/>
        </w:rPr>
        <w:t xml:space="preserve"> to </w:t>
      </w:r>
      <w:r w:rsidR="009A611D">
        <w:rPr>
          <w:rFonts w:cstheme="minorHAnsi"/>
        </w:rPr>
        <w:t>assess</w:t>
      </w:r>
      <w:r w:rsidRPr="0055525B">
        <w:rPr>
          <w:rFonts w:cstheme="minorHAnsi"/>
        </w:rPr>
        <w:t xml:space="preserve"> the </w:t>
      </w:r>
      <w:r w:rsidR="003F3C25">
        <w:rPr>
          <w:rFonts w:cstheme="minorHAnsi"/>
        </w:rPr>
        <w:t>effect</w:t>
      </w:r>
      <w:r w:rsidRPr="0055525B">
        <w:rPr>
          <w:rFonts w:cstheme="minorHAnsi"/>
        </w:rPr>
        <w:t xml:space="preserve"> of </w:t>
      </w:r>
      <w:proofErr w:type="spellStart"/>
      <w:r>
        <w:rPr>
          <w:rFonts w:cstheme="minorHAnsi"/>
        </w:rPr>
        <w:t>phaco</w:t>
      </w:r>
      <w:proofErr w:type="spellEnd"/>
      <w:r>
        <w:rPr>
          <w:rFonts w:cstheme="minorHAnsi"/>
        </w:rPr>
        <w:t xml:space="preserve">-goniotomy </w:t>
      </w:r>
      <w:r w:rsidR="009A611D">
        <w:rPr>
          <w:rFonts w:cstheme="minorHAnsi"/>
        </w:rPr>
        <w:t xml:space="preserve">compared to phacoemulsification </w:t>
      </w:r>
      <w:r>
        <w:rPr>
          <w:rFonts w:cstheme="minorHAnsi"/>
        </w:rPr>
        <w:t xml:space="preserve">on the IOP </w:t>
      </w:r>
      <w:r w:rsidR="00C20C19">
        <w:rPr>
          <w:rFonts w:cstheme="minorHAnsi"/>
        </w:rPr>
        <w:t xml:space="preserve">level </w:t>
      </w:r>
      <w:r>
        <w:rPr>
          <w:rFonts w:cstheme="minorHAnsi"/>
        </w:rPr>
        <w:t xml:space="preserve">and the number of IOP lowering </w:t>
      </w:r>
      <w:r w:rsidR="0095784D">
        <w:rPr>
          <w:rFonts w:cstheme="minorHAnsi"/>
        </w:rPr>
        <w:t>drops</w:t>
      </w:r>
      <w:r>
        <w:rPr>
          <w:rFonts w:cstheme="minorHAnsi"/>
        </w:rPr>
        <w:t xml:space="preserve"> </w:t>
      </w:r>
      <w:r w:rsidR="009A611D">
        <w:rPr>
          <w:rFonts w:cstheme="minorHAnsi"/>
        </w:rPr>
        <w:t>in</w:t>
      </w:r>
      <w:r>
        <w:rPr>
          <w:rFonts w:cstheme="minorHAnsi"/>
        </w:rPr>
        <w:t xml:space="preserve"> </w:t>
      </w:r>
      <w:r w:rsidR="009A611D">
        <w:rPr>
          <w:rFonts w:cstheme="minorHAnsi"/>
        </w:rPr>
        <w:t>POAG</w:t>
      </w:r>
      <w:r>
        <w:rPr>
          <w:rFonts w:cstheme="minorHAnsi"/>
        </w:rPr>
        <w:t xml:space="preserve"> patients</w:t>
      </w:r>
      <w:r w:rsidRPr="0055525B">
        <w:rPr>
          <w:rFonts w:cstheme="minorHAnsi"/>
        </w:rPr>
        <w:t>.</w:t>
      </w:r>
      <w:r w:rsidR="00D16E70">
        <w:rPr>
          <w:rFonts w:cstheme="minorHAnsi"/>
        </w:rPr>
        <w:t xml:space="preserve"> </w:t>
      </w:r>
    </w:p>
    <w:p w14:paraId="3F928B5E" w14:textId="77777777" w:rsidR="00594C3D" w:rsidRDefault="00594C3D" w:rsidP="00B552B8">
      <w:pPr>
        <w:autoSpaceDE w:val="0"/>
        <w:autoSpaceDN w:val="0"/>
        <w:adjustRightInd w:val="0"/>
        <w:spacing w:line="480" w:lineRule="auto"/>
        <w:jc w:val="both"/>
        <w:rPr>
          <w:rFonts w:cstheme="minorHAnsi"/>
          <w:sz w:val="28"/>
          <w:szCs w:val="28"/>
        </w:rPr>
      </w:pPr>
    </w:p>
    <w:p w14:paraId="73F964A5" w14:textId="1C041A0F" w:rsidR="00594C3D" w:rsidRDefault="00594C3D" w:rsidP="00E06EBC">
      <w:pPr>
        <w:autoSpaceDE w:val="0"/>
        <w:autoSpaceDN w:val="0"/>
        <w:adjustRightInd w:val="0"/>
        <w:spacing w:line="480" w:lineRule="auto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Secondary outcome: </w:t>
      </w:r>
    </w:p>
    <w:p w14:paraId="4197036E" w14:textId="2028F22A" w:rsidR="00594C3D" w:rsidRPr="00594C3D" w:rsidRDefault="0095784D" w:rsidP="00B552B8">
      <w:pPr>
        <w:autoSpaceDE w:val="0"/>
        <w:autoSpaceDN w:val="0"/>
        <w:adjustRightInd w:val="0"/>
        <w:spacing w:line="48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>To evaluate the safety and cost-effectiveness of c</w:t>
      </w:r>
      <w:r w:rsidR="00594C3D">
        <w:rPr>
          <w:rFonts w:cstheme="minorHAnsi"/>
        </w:rPr>
        <w:t xml:space="preserve">ombined phacoemulsification-goniotomy in patients with primary </w:t>
      </w:r>
      <w:r w:rsidR="00ED7D33">
        <w:rPr>
          <w:rFonts w:cstheme="minorHAnsi"/>
        </w:rPr>
        <w:t>open-angle</w:t>
      </w:r>
      <w:r w:rsidR="00594C3D">
        <w:rPr>
          <w:rFonts w:cstheme="minorHAnsi"/>
        </w:rPr>
        <w:t xml:space="preserve"> glaucoma</w:t>
      </w:r>
      <w:r w:rsidR="00D9602D">
        <w:rPr>
          <w:rFonts w:cstheme="minorHAnsi"/>
        </w:rPr>
        <w:t>.</w:t>
      </w:r>
      <w:r w:rsidR="00D16E70">
        <w:rPr>
          <w:rFonts w:cstheme="minorHAnsi"/>
        </w:rPr>
        <w:t xml:space="preserve"> </w:t>
      </w:r>
      <w:r>
        <w:rPr>
          <w:rFonts w:cstheme="minorHAnsi"/>
        </w:rPr>
        <w:t xml:space="preserve">We also </w:t>
      </w:r>
      <w:r w:rsidR="00D16E70">
        <w:rPr>
          <w:rFonts w:cstheme="minorHAnsi"/>
        </w:rPr>
        <w:t>compared</w:t>
      </w:r>
      <w:r>
        <w:rPr>
          <w:rFonts w:cstheme="minorHAnsi"/>
        </w:rPr>
        <w:t xml:space="preserve"> the IOP lowering effect</w:t>
      </w:r>
      <w:r w:rsidR="00F94F4E">
        <w:rPr>
          <w:rFonts w:cstheme="minorHAnsi"/>
        </w:rPr>
        <w:t xml:space="preserve"> in moderate </w:t>
      </w:r>
      <w:r>
        <w:rPr>
          <w:rFonts w:cstheme="minorHAnsi"/>
        </w:rPr>
        <w:t xml:space="preserve">and severe </w:t>
      </w:r>
      <w:r w:rsidR="00F94F4E">
        <w:rPr>
          <w:rFonts w:cstheme="minorHAnsi"/>
        </w:rPr>
        <w:t>glaucoma patients.</w:t>
      </w:r>
    </w:p>
    <w:p w14:paraId="795124C9" w14:textId="7E7D9085" w:rsidR="005362AE" w:rsidRDefault="005362AE" w:rsidP="00B552B8">
      <w:pPr>
        <w:spacing w:line="480" w:lineRule="auto"/>
        <w:jc w:val="center"/>
        <w:rPr>
          <w:b/>
          <w:bCs/>
          <w:sz w:val="32"/>
          <w:szCs w:val="32"/>
        </w:rPr>
      </w:pPr>
    </w:p>
    <w:p w14:paraId="321E46E9" w14:textId="242ECC87" w:rsidR="00443F23" w:rsidRPr="00443F23" w:rsidRDefault="00443F23" w:rsidP="00B552B8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Introduction:</w:t>
      </w:r>
    </w:p>
    <w:p w14:paraId="30BDCCA5" w14:textId="10CA131B" w:rsidR="005362AE" w:rsidRPr="005362AE" w:rsidRDefault="009F127C" w:rsidP="00B552B8">
      <w:pPr>
        <w:spacing w:before="100" w:beforeAutospacing="1" w:after="100" w:afterAutospacing="1" w:line="480" w:lineRule="auto"/>
        <w:ind w:firstLine="567"/>
        <w:jc w:val="both"/>
        <w:rPr>
          <w:rFonts w:asciiTheme="majorBidi" w:hAnsiTheme="majorBidi" w:cstheme="majorBidi"/>
          <w:color w:val="000000" w:themeColor="text1"/>
          <w:position w:val="8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Lowering </w:t>
      </w:r>
      <w:r w:rsidR="00D16E70">
        <w:rPr>
          <w:rFonts w:asciiTheme="majorBidi" w:hAnsiTheme="majorBidi" w:cstheme="majorBidi"/>
          <w:sz w:val="28"/>
          <w:szCs w:val="28"/>
        </w:rPr>
        <w:t xml:space="preserve">the </w:t>
      </w:r>
      <w:r w:rsidR="00D16E70" w:rsidRPr="005362AE">
        <w:rPr>
          <w:rFonts w:asciiTheme="majorBidi" w:hAnsiTheme="majorBidi" w:cstheme="majorBidi"/>
          <w:sz w:val="28"/>
          <w:szCs w:val="28"/>
        </w:rPr>
        <w:t>intraocular</w:t>
      </w:r>
      <w:r w:rsidR="005362AE" w:rsidRPr="005362AE">
        <w:rPr>
          <w:rFonts w:asciiTheme="majorBidi" w:hAnsiTheme="majorBidi" w:cstheme="majorBidi"/>
          <w:sz w:val="28"/>
          <w:szCs w:val="28"/>
        </w:rPr>
        <w:t xml:space="preserve"> pressure (IOP) </w:t>
      </w:r>
      <w:r>
        <w:rPr>
          <w:rFonts w:asciiTheme="majorBidi" w:hAnsiTheme="majorBidi" w:cstheme="majorBidi"/>
          <w:sz w:val="28"/>
          <w:szCs w:val="28"/>
        </w:rPr>
        <w:t xml:space="preserve">is the </w:t>
      </w:r>
      <w:r w:rsidR="00D16E70">
        <w:rPr>
          <w:rFonts w:asciiTheme="majorBidi" w:hAnsiTheme="majorBidi" w:cstheme="majorBidi"/>
          <w:sz w:val="28"/>
          <w:szCs w:val="28"/>
        </w:rPr>
        <w:t>primary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D16E70">
        <w:rPr>
          <w:rFonts w:asciiTheme="majorBidi" w:hAnsiTheme="majorBidi" w:cstheme="majorBidi"/>
          <w:sz w:val="28"/>
          <w:szCs w:val="28"/>
        </w:rPr>
        <w:t>treatment method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D16E70">
        <w:rPr>
          <w:rFonts w:asciiTheme="majorBidi" w:hAnsiTheme="majorBidi" w:cstheme="majorBidi"/>
          <w:sz w:val="28"/>
          <w:szCs w:val="28"/>
        </w:rPr>
        <w:t>for</w:t>
      </w:r>
      <w:r>
        <w:rPr>
          <w:rFonts w:asciiTheme="majorBidi" w:hAnsiTheme="majorBidi" w:cstheme="majorBidi"/>
          <w:sz w:val="28"/>
          <w:szCs w:val="28"/>
        </w:rPr>
        <w:t xml:space="preserve"> glaucoma</w:t>
      </w:r>
      <w:r w:rsidR="005362AE" w:rsidRPr="005362AE">
        <w:rPr>
          <w:rFonts w:asciiTheme="majorBidi" w:hAnsiTheme="majorBidi" w:cstheme="majorBidi"/>
          <w:sz w:val="28"/>
          <w:szCs w:val="28"/>
        </w:rPr>
        <w:t>.</w:t>
      </w:r>
      <w:r w:rsidR="00D16E7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Medical treatment with IOP-lowering drops is the standard care in patients with Primary Open-Angle Glaucoma (POAG)</w:t>
      </w:r>
      <w:r w:rsidR="005362AE" w:rsidRPr="005362AE">
        <w:rPr>
          <w:rFonts w:asciiTheme="majorBidi" w:hAnsiTheme="majorBidi" w:cstheme="majorBidi"/>
          <w:sz w:val="28"/>
          <w:szCs w:val="28"/>
        </w:rPr>
        <w:t>.</w:t>
      </w:r>
      <w:r w:rsidR="00D16E70">
        <w:rPr>
          <w:rFonts w:asciiTheme="majorBidi" w:hAnsiTheme="majorBidi" w:cstheme="majorBidi"/>
          <w:sz w:val="28"/>
          <w:szCs w:val="28"/>
        </w:rPr>
        <w:t xml:space="preserve"> </w:t>
      </w:r>
      <w:r w:rsidR="005362AE" w:rsidRPr="005362AE">
        <w:rPr>
          <w:rFonts w:asciiTheme="majorBidi" w:hAnsiTheme="majorBidi" w:cstheme="majorBidi"/>
          <w:sz w:val="28"/>
          <w:szCs w:val="28"/>
        </w:rPr>
        <w:t xml:space="preserve">However, 50% of </w:t>
      </w:r>
      <w:r>
        <w:rPr>
          <w:rFonts w:asciiTheme="majorBidi" w:hAnsiTheme="majorBidi" w:cstheme="majorBidi"/>
          <w:sz w:val="28"/>
          <w:szCs w:val="28"/>
        </w:rPr>
        <w:t>POAG patients</w:t>
      </w:r>
      <w:r w:rsidR="005362AE" w:rsidRPr="005362AE">
        <w:rPr>
          <w:rFonts w:asciiTheme="majorBidi" w:hAnsiTheme="majorBidi" w:cstheme="majorBidi"/>
          <w:sz w:val="28"/>
          <w:szCs w:val="28"/>
        </w:rPr>
        <w:t xml:space="preserve"> </w:t>
      </w:r>
      <w:r w:rsidR="00D16E70">
        <w:rPr>
          <w:rFonts w:asciiTheme="majorBidi" w:hAnsiTheme="majorBidi" w:cstheme="majorBidi"/>
          <w:sz w:val="28"/>
          <w:szCs w:val="28"/>
        </w:rPr>
        <w:t>show</w:t>
      </w:r>
      <w:r>
        <w:rPr>
          <w:rFonts w:asciiTheme="majorBidi" w:hAnsiTheme="majorBidi" w:cstheme="majorBidi"/>
          <w:sz w:val="28"/>
          <w:szCs w:val="28"/>
        </w:rPr>
        <w:t xml:space="preserve"> poor compliance with</w:t>
      </w:r>
      <w:r w:rsidR="005362AE" w:rsidRPr="005362AE">
        <w:rPr>
          <w:rFonts w:asciiTheme="majorBidi" w:hAnsiTheme="majorBidi" w:cstheme="majorBidi"/>
          <w:sz w:val="28"/>
          <w:szCs w:val="28"/>
        </w:rPr>
        <w:t xml:space="preserve"> medical therapy.</w:t>
      </w:r>
      <w:r w:rsidR="00E16218" w:rsidRPr="00E16218">
        <w:rPr>
          <w:rFonts w:asciiTheme="majorBidi" w:hAnsiTheme="majorBidi" w:cstheme="majorBidi"/>
          <w:color w:val="000000" w:themeColor="text1"/>
          <w:position w:val="10"/>
          <w:sz w:val="28"/>
          <w:szCs w:val="28"/>
          <w:vertAlign w:val="superscript"/>
        </w:rPr>
        <w:t>1</w:t>
      </w:r>
      <w:r w:rsidR="005362AE" w:rsidRPr="005362AE">
        <w:rPr>
          <w:rFonts w:asciiTheme="majorBidi" w:hAnsiTheme="majorBidi" w:cstheme="majorBidi"/>
          <w:color w:val="2196D1"/>
          <w:position w:val="10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Phacoemulsification proved to</w:t>
      </w:r>
      <w:r w:rsidR="005362AE" w:rsidRPr="005362AE">
        <w:rPr>
          <w:rFonts w:asciiTheme="majorBidi" w:hAnsiTheme="majorBidi" w:cstheme="majorBidi"/>
          <w:sz w:val="28"/>
          <w:szCs w:val="28"/>
        </w:rPr>
        <w:t xml:space="preserve"> lower </w:t>
      </w:r>
      <w:r w:rsidR="00360130">
        <w:rPr>
          <w:rFonts w:asciiTheme="majorBidi" w:hAnsiTheme="majorBidi" w:cstheme="majorBidi"/>
          <w:sz w:val="28"/>
          <w:szCs w:val="28"/>
        </w:rPr>
        <w:t>the IOP</w:t>
      </w:r>
      <w:r w:rsidR="005362AE" w:rsidRPr="005362AE">
        <w:rPr>
          <w:rFonts w:asciiTheme="majorBidi" w:hAnsiTheme="majorBidi" w:cstheme="majorBidi"/>
          <w:sz w:val="28"/>
          <w:szCs w:val="28"/>
        </w:rPr>
        <w:t>.</w:t>
      </w:r>
      <w:r w:rsidR="00E16218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="005362AE" w:rsidRPr="005362AE">
        <w:rPr>
          <w:rFonts w:asciiTheme="majorBidi" w:hAnsiTheme="majorBidi" w:cstheme="majorBidi"/>
          <w:color w:val="000000" w:themeColor="text1"/>
          <w:position w:val="10"/>
          <w:sz w:val="28"/>
          <w:szCs w:val="28"/>
        </w:rPr>
        <w:t xml:space="preserve"> </w:t>
      </w:r>
      <w:r w:rsidR="00472020">
        <w:rPr>
          <w:rFonts w:asciiTheme="majorBidi" w:hAnsiTheme="majorBidi" w:cstheme="majorBidi"/>
          <w:sz w:val="28"/>
          <w:szCs w:val="28"/>
        </w:rPr>
        <w:t>T</w:t>
      </w:r>
      <w:r w:rsidR="00360130">
        <w:rPr>
          <w:rFonts w:asciiTheme="majorBidi" w:hAnsiTheme="majorBidi" w:cstheme="majorBidi"/>
          <w:sz w:val="28"/>
          <w:szCs w:val="28"/>
        </w:rPr>
        <w:t>hat</w:t>
      </w:r>
      <w:r w:rsidR="005362AE" w:rsidRPr="005362AE">
        <w:rPr>
          <w:rFonts w:asciiTheme="majorBidi" w:hAnsiTheme="majorBidi" w:cstheme="majorBidi"/>
          <w:sz w:val="28"/>
          <w:szCs w:val="28"/>
        </w:rPr>
        <w:t xml:space="preserve"> IOP-lowering effect </w:t>
      </w:r>
      <w:r w:rsidR="00472020">
        <w:rPr>
          <w:rFonts w:asciiTheme="majorBidi" w:hAnsiTheme="majorBidi" w:cstheme="majorBidi"/>
          <w:sz w:val="28"/>
          <w:szCs w:val="28"/>
        </w:rPr>
        <w:t>can be explained in several ways</w:t>
      </w:r>
      <w:r w:rsidR="00D16E70">
        <w:rPr>
          <w:rFonts w:asciiTheme="majorBidi" w:hAnsiTheme="majorBidi" w:cstheme="majorBidi"/>
          <w:sz w:val="28"/>
          <w:szCs w:val="28"/>
        </w:rPr>
        <w:t>,</w:t>
      </w:r>
      <w:r w:rsidR="00472020">
        <w:rPr>
          <w:rFonts w:asciiTheme="majorBidi" w:hAnsiTheme="majorBidi" w:cstheme="majorBidi"/>
          <w:sz w:val="28"/>
          <w:szCs w:val="28"/>
        </w:rPr>
        <w:t xml:space="preserve"> </w:t>
      </w:r>
      <w:r w:rsidR="009A611D">
        <w:rPr>
          <w:rFonts w:asciiTheme="majorBidi" w:hAnsiTheme="majorBidi" w:cstheme="majorBidi"/>
          <w:sz w:val="28"/>
          <w:szCs w:val="28"/>
        </w:rPr>
        <w:t>for instance</w:t>
      </w:r>
      <w:r w:rsidR="005362AE" w:rsidRPr="005362AE">
        <w:rPr>
          <w:rFonts w:asciiTheme="majorBidi" w:hAnsiTheme="majorBidi" w:cstheme="majorBidi"/>
          <w:sz w:val="28"/>
          <w:szCs w:val="28"/>
        </w:rPr>
        <w:t xml:space="preserve"> the mechanical </w:t>
      </w:r>
      <w:r w:rsidR="00472020">
        <w:rPr>
          <w:rFonts w:asciiTheme="majorBidi" w:hAnsiTheme="majorBidi" w:cstheme="majorBidi"/>
          <w:sz w:val="28"/>
          <w:szCs w:val="28"/>
        </w:rPr>
        <w:t>effect</w:t>
      </w:r>
      <w:r w:rsidR="005362AE" w:rsidRPr="005362AE">
        <w:rPr>
          <w:rFonts w:asciiTheme="majorBidi" w:hAnsiTheme="majorBidi" w:cstheme="majorBidi"/>
          <w:sz w:val="28"/>
          <w:szCs w:val="28"/>
        </w:rPr>
        <w:t xml:space="preserve"> of the lens </w:t>
      </w:r>
      <w:r w:rsidR="009A611D">
        <w:rPr>
          <w:rFonts w:asciiTheme="majorBidi" w:hAnsiTheme="majorBidi" w:cstheme="majorBidi"/>
          <w:sz w:val="28"/>
          <w:szCs w:val="28"/>
        </w:rPr>
        <w:t>extraction</w:t>
      </w:r>
      <w:r w:rsidR="005362AE" w:rsidRPr="005362AE">
        <w:rPr>
          <w:rFonts w:asciiTheme="majorBidi" w:hAnsiTheme="majorBidi" w:cstheme="majorBidi"/>
          <w:sz w:val="28"/>
          <w:szCs w:val="28"/>
        </w:rPr>
        <w:t>,</w:t>
      </w:r>
      <w:r w:rsidR="00D16E70">
        <w:rPr>
          <w:rFonts w:asciiTheme="majorBidi" w:hAnsiTheme="majorBidi" w:cstheme="majorBidi"/>
          <w:color w:val="000000" w:themeColor="text1"/>
          <w:position w:val="8"/>
          <w:sz w:val="28"/>
          <w:szCs w:val="28"/>
          <w:vertAlign w:val="superscript"/>
        </w:rPr>
        <w:t xml:space="preserve"> </w:t>
      </w:r>
      <w:r w:rsidR="00973481">
        <w:rPr>
          <w:rFonts w:asciiTheme="majorBidi" w:hAnsiTheme="majorBidi" w:cstheme="majorBidi"/>
          <w:color w:val="000000" w:themeColor="text1"/>
          <w:position w:val="8"/>
          <w:sz w:val="28"/>
          <w:szCs w:val="28"/>
          <w:vertAlign w:val="superscript"/>
        </w:rPr>
        <w:t>3</w:t>
      </w:r>
      <w:r w:rsidR="00E16218">
        <w:rPr>
          <w:rFonts w:asciiTheme="majorBidi" w:hAnsiTheme="majorBidi" w:cstheme="majorBidi"/>
          <w:color w:val="000000" w:themeColor="text1"/>
          <w:position w:val="8"/>
          <w:sz w:val="28"/>
          <w:szCs w:val="28"/>
          <w:vertAlign w:val="superscript"/>
        </w:rPr>
        <w:t xml:space="preserve"> </w:t>
      </w:r>
      <w:r w:rsidR="004B59F6">
        <w:rPr>
          <w:rFonts w:asciiTheme="majorBidi" w:hAnsiTheme="majorBidi" w:cstheme="majorBidi"/>
          <w:sz w:val="28"/>
          <w:szCs w:val="28"/>
        </w:rPr>
        <w:t>improved</w:t>
      </w:r>
      <w:r w:rsidR="005362AE" w:rsidRPr="005362AE">
        <w:rPr>
          <w:rFonts w:asciiTheme="majorBidi" w:hAnsiTheme="majorBidi" w:cstheme="majorBidi"/>
          <w:sz w:val="28"/>
          <w:szCs w:val="28"/>
        </w:rPr>
        <w:t xml:space="preserve"> </w:t>
      </w:r>
      <w:r w:rsidR="009A611D">
        <w:rPr>
          <w:rFonts w:asciiTheme="majorBidi" w:hAnsiTheme="majorBidi" w:cstheme="majorBidi"/>
          <w:sz w:val="28"/>
          <w:szCs w:val="28"/>
        </w:rPr>
        <w:t xml:space="preserve">both </w:t>
      </w:r>
      <w:r w:rsidR="005362AE" w:rsidRPr="005362AE">
        <w:rPr>
          <w:rFonts w:asciiTheme="majorBidi" w:hAnsiTheme="majorBidi" w:cstheme="majorBidi"/>
          <w:sz w:val="28"/>
          <w:szCs w:val="28"/>
        </w:rPr>
        <w:t xml:space="preserve">trabecular </w:t>
      </w:r>
      <w:r w:rsidR="009A611D">
        <w:rPr>
          <w:rFonts w:asciiTheme="majorBidi" w:hAnsiTheme="majorBidi" w:cstheme="majorBidi"/>
          <w:sz w:val="28"/>
          <w:szCs w:val="28"/>
        </w:rPr>
        <w:t xml:space="preserve">and </w:t>
      </w:r>
      <w:r w:rsidR="009A611D" w:rsidRPr="005362AE">
        <w:rPr>
          <w:rFonts w:asciiTheme="majorBidi" w:hAnsiTheme="majorBidi" w:cstheme="majorBidi"/>
          <w:sz w:val="28"/>
          <w:szCs w:val="28"/>
        </w:rPr>
        <w:t xml:space="preserve">uveoscleral </w:t>
      </w:r>
      <w:r w:rsidR="005362AE" w:rsidRPr="005362AE">
        <w:rPr>
          <w:rFonts w:asciiTheme="majorBidi" w:hAnsiTheme="majorBidi" w:cstheme="majorBidi"/>
          <w:sz w:val="28"/>
          <w:szCs w:val="28"/>
        </w:rPr>
        <w:t>outflow.</w:t>
      </w:r>
      <w:r w:rsidR="00E16218">
        <w:rPr>
          <w:rFonts w:asciiTheme="majorBidi" w:hAnsiTheme="majorBidi" w:cstheme="majorBidi"/>
          <w:color w:val="000000" w:themeColor="text1"/>
          <w:position w:val="8"/>
          <w:sz w:val="28"/>
          <w:szCs w:val="28"/>
          <w:vertAlign w:val="superscript"/>
        </w:rPr>
        <w:t>4</w:t>
      </w:r>
      <w:r w:rsidR="005362AE" w:rsidRPr="005362AE">
        <w:rPr>
          <w:rFonts w:asciiTheme="majorBidi" w:hAnsiTheme="majorBidi" w:cstheme="majorBidi"/>
          <w:color w:val="000000" w:themeColor="text1"/>
          <w:position w:val="8"/>
          <w:sz w:val="28"/>
          <w:szCs w:val="28"/>
        </w:rPr>
        <w:t xml:space="preserve"> </w:t>
      </w:r>
    </w:p>
    <w:p w14:paraId="072DF399" w14:textId="52712EF9" w:rsidR="00F14CBE" w:rsidRPr="00037DEF" w:rsidRDefault="00F14CBE" w:rsidP="00F14CBE">
      <w:pPr>
        <w:spacing w:before="100" w:beforeAutospacing="1" w:after="100" w:afterAutospacing="1" w:line="480" w:lineRule="auto"/>
        <w:ind w:firstLine="567"/>
        <w:jc w:val="both"/>
        <w:rPr>
          <w:rFonts w:asciiTheme="majorBidi" w:hAnsiTheme="majorBidi" w:cstheme="majorBidi"/>
          <w:sz w:val="28"/>
          <w:szCs w:val="28"/>
          <w:vertAlign w:val="superscript"/>
        </w:rPr>
      </w:pPr>
      <w:r>
        <w:rPr>
          <w:rFonts w:asciiTheme="majorBidi" w:hAnsiTheme="majorBidi" w:cstheme="majorBidi"/>
          <w:sz w:val="28"/>
          <w:szCs w:val="28"/>
        </w:rPr>
        <w:t>M</w:t>
      </w:r>
      <w:r w:rsidRPr="00F14CBE">
        <w:rPr>
          <w:rFonts w:asciiTheme="majorBidi" w:hAnsiTheme="majorBidi" w:cstheme="majorBidi"/>
          <w:sz w:val="28"/>
          <w:szCs w:val="28"/>
        </w:rPr>
        <w:t>inimally invasive glaucoma surgery (MIGS) </w:t>
      </w:r>
      <w:r w:rsidR="00E17B59">
        <w:rPr>
          <w:rFonts w:asciiTheme="majorBidi" w:hAnsiTheme="majorBidi" w:cstheme="majorBidi"/>
          <w:sz w:val="28"/>
          <w:szCs w:val="28"/>
        </w:rPr>
        <w:t xml:space="preserve">was introduced </w:t>
      </w:r>
      <w:r w:rsidR="009A611D">
        <w:rPr>
          <w:rFonts w:asciiTheme="majorBidi" w:hAnsiTheme="majorBidi" w:cstheme="majorBidi"/>
          <w:sz w:val="28"/>
          <w:szCs w:val="28"/>
        </w:rPr>
        <w:t>recently</w:t>
      </w:r>
      <w:r w:rsidR="00E17B59">
        <w:rPr>
          <w:rFonts w:asciiTheme="majorBidi" w:hAnsiTheme="majorBidi" w:cstheme="majorBidi"/>
          <w:sz w:val="28"/>
          <w:szCs w:val="28"/>
        </w:rPr>
        <w:t xml:space="preserve"> to the glaucoma care armamentarium and is rapidly proving promising results for patients with POAG</w:t>
      </w:r>
      <w:r w:rsidRPr="00F14CBE">
        <w:rPr>
          <w:rFonts w:asciiTheme="majorBidi" w:hAnsiTheme="majorBidi" w:cstheme="majorBidi"/>
          <w:sz w:val="28"/>
          <w:szCs w:val="28"/>
        </w:rPr>
        <w:t>.</w:t>
      </w:r>
      <w:r w:rsidR="00D16E70">
        <w:rPr>
          <w:rFonts w:asciiTheme="majorBidi" w:hAnsiTheme="majorBidi" w:cstheme="majorBidi"/>
          <w:sz w:val="28"/>
          <w:szCs w:val="28"/>
        </w:rPr>
        <w:t xml:space="preserve"> </w:t>
      </w:r>
      <w:r w:rsidRPr="00F14CBE">
        <w:rPr>
          <w:rFonts w:asciiTheme="majorBidi" w:hAnsiTheme="majorBidi" w:cstheme="majorBidi"/>
          <w:sz w:val="28"/>
          <w:szCs w:val="28"/>
          <w:vertAlign w:val="superscript"/>
        </w:rPr>
        <w:t>5-7</w:t>
      </w:r>
      <w:r w:rsidRPr="00F14CBE">
        <w:rPr>
          <w:rFonts w:asciiTheme="majorBidi" w:hAnsiTheme="majorBidi" w:cstheme="majorBidi"/>
          <w:sz w:val="28"/>
          <w:szCs w:val="28"/>
        </w:rPr>
        <w:t xml:space="preserve"> MIGS </w:t>
      </w:r>
      <w:r w:rsidR="008E794A">
        <w:rPr>
          <w:rFonts w:asciiTheme="majorBidi" w:hAnsiTheme="majorBidi" w:cstheme="majorBidi"/>
          <w:sz w:val="28"/>
          <w:szCs w:val="28"/>
        </w:rPr>
        <w:t>can be</w:t>
      </w:r>
      <w:r w:rsidR="00E17B59">
        <w:rPr>
          <w:rFonts w:asciiTheme="majorBidi" w:hAnsiTheme="majorBidi" w:cstheme="majorBidi"/>
          <w:sz w:val="28"/>
          <w:szCs w:val="28"/>
        </w:rPr>
        <w:t xml:space="preserve"> done </w:t>
      </w:r>
      <w:r w:rsidR="00D708D4">
        <w:rPr>
          <w:rFonts w:asciiTheme="majorBidi" w:hAnsiTheme="majorBidi" w:cstheme="majorBidi"/>
          <w:sz w:val="28"/>
          <w:szCs w:val="28"/>
        </w:rPr>
        <w:t>via</w:t>
      </w:r>
      <w:r w:rsidR="00E17B59">
        <w:rPr>
          <w:rFonts w:asciiTheme="majorBidi" w:hAnsiTheme="majorBidi" w:cstheme="majorBidi"/>
          <w:sz w:val="28"/>
          <w:szCs w:val="28"/>
        </w:rPr>
        <w:t xml:space="preserve"> </w:t>
      </w:r>
      <w:r w:rsidRPr="00F14CBE">
        <w:rPr>
          <w:rFonts w:asciiTheme="majorBidi" w:hAnsiTheme="majorBidi" w:cstheme="majorBidi"/>
          <w:sz w:val="28"/>
          <w:szCs w:val="28"/>
        </w:rPr>
        <w:t xml:space="preserve">ab </w:t>
      </w:r>
      <w:proofErr w:type="spellStart"/>
      <w:r w:rsidRPr="00F14CBE">
        <w:rPr>
          <w:rFonts w:asciiTheme="majorBidi" w:hAnsiTheme="majorBidi" w:cstheme="majorBidi"/>
          <w:sz w:val="28"/>
          <w:szCs w:val="28"/>
        </w:rPr>
        <w:t>interno</w:t>
      </w:r>
      <w:proofErr w:type="spellEnd"/>
      <w:r w:rsidRPr="00F14CBE">
        <w:rPr>
          <w:rFonts w:asciiTheme="majorBidi" w:hAnsiTheme="majorBidi" w:cstheme="majorBidi"/>
          <w:sz w:val="28"/>
          <w:szCs w:val="28"/>
        </w:rPr>
        <w:t xml:space="preserve"> o</w:t>
      </w:r>
      <w:r w:rsidR="00B76DE4">
        <w:rPr>
          <w:rFonts w:asciiTheme="majorBidi" w:hAnsiTheme="majorBidi" w:cstheme="majorBidi"/>
          <w:sz w:val="28"/>
          <w:szCs w:val="28"/>
        </w:rPr>
        <w:t xml:space="preserve">r </w:t>
      </w:r>
      <w:r w:rsidR="007315A6">
        <w:rPr>
          <w:rFonts w:asciiTheme="majorBidi" w:hAnsiTheme="majorBidi" w:cstheme="majorBidi"/>
          <w:sz w:val="28"/>
          <w:szCs w:val="28"/>
        </w:rPr>
        <w:t xml:space="preserve">ab </w:t>
      </w:r>
      <w:proofErr w:type="spellStart"/>
      <w:r w:rsidR="00B76DE4">
        <w:rPr>
          <w:rFonts w:asciiTheme="majorBidi" w:hAnsiTheme="majorBidi" w:cstheme="majorBidi"/>
          <w:sz w:val="28"/>
          <w:szCs w:val="28"/>
        </w:rPr>
        <w:t>externo</w:t>
      </w:r>
      <w:proofErr w:type="spellEnd"/>
      <w:r w:rsidR="00B76DE4">
        <w:rPr>
          <w:rFonts w:asciiTheme="majorBidi" w:hAnsiTheme="majorBidi" w:cstheme="majorBidi"/>
          <w:sz w:val="28"/>
          <w:szCs w:val="28"/>
        </w:rPr>
        <w:t xml:space="preserve"> </w:t>
      </w:r>
      <w:r w:rsidR="00D33A1B">
        <w:rPr>
          <w:rFonts w:asciiTheme="majorBidi" w:hAnsiTheme="majorBidi" w:cstheme="majorBidi"/>
          <w:sz w:val="28"/>
          <w:szCs w:val="28"/>
        </w:rPr>
        <w:t>approach</w:t>
      </w:r>
      <w:r w:rsidR="00E17B59">
        <w:rPr>
          <w:rFonts w:asciiTheme="majorBidi" w:hAnsiTheme="majorBidi" w:cstheme="majorBidi"/>
          <w:sz w:val="28"/>
          <w:szCs w:val="28"/>
        </w:rPr>
        <w:t>es.</w:t>
      </w:r>
      <w:r w:rsidR="00D16E70">
        <w:rPr>
          <w:rFonts w:asciiTheme="majorBidi" w:hAnsiTheme="majorBidi" w:cstheme="majorBidi"/>
          <w:sz w:val="28"/>
          <w:szCs w:val="28"/>
        </w:rPr>
        <w:t xml:space="preserve"> </w:t>
      </w:r>
      <w:r w:rsidR="00E17B59">
        <w:rPr>
          <w:rFonts w:asciiTheme="majorBidi" w:hAnsiTheme="majorBidi" w:cstheme="majorBidi"/>
          <w:sz w:val="28"/>
          <w:szCs w:val="28"/>
        </w:rPr>
        <w:t>The main advantage of MIGS is</w:t>
      </w:r>
      <w:r w:rsidR="00B76DE4">
        <w:rPr>
          <w:rFonts w:asciiTheme="majorBidi" w:hAnsiTheme="majorBidi" w:cstheme="majorBidi"/>
          <w:sz w:val="28"/>
          <w:szCs w:val="28"/>
        </w:rPr>
        <w:t xml:space="preserve"> </w:t>
      </w:r>
      <w:r w:rsidR="00E17B59">
        <w:rPr>
          <w:rFonts w:asciiTheme="majorBidi" w:hAnsiTheme="majorBidi" w:cstheme="majorBidi"/>
          <w:sz w:val="28"/>
          <w:szCs w:val="28"/>
        </w:rPr>
        <w:t>to</w:t>
      </w:r>
      <w:r w:rsidR="00B76DE4">
        <w:rPr>
          <w:rFonts w:asciiTheme="majorBidi" w:hAnsiTheme="majorBidi" w:cstheme="majorBidi"/>
          <w:sz w:val="28"/>
          <w:szCs w:val="28"/>
        </w:rPr>
        <w:t xml:space="preserve"> </w:t>
      </w:r>
      <w:r w:rsidR="00E17B59">
        <w:rPr>
          <w:rFonts w:asciiTheme="majorBidi" w:hAnsiTheme="majorBidi" w:cstheme="majorBidi"/>
          <w:sz w:val="28"/>
          <w:szCs w:val="28"/>
        </w:rPr>
        <w:t>improve</w:t>
      </w:r>
      <w:r w:rsidR="003538D3">
        <w:rPr>
          <w:rFonts w:asciiTheme="majorBidi" w:hAnsiTheme="majorBidi" w:cstheme="majorBidi"/>
          <w:sz w:val="28"/>
          <w:szCs w:val="28"/>
        </w:rPr>
        <w:t xml:space="preserve"> the</w:t>
      </w:r>
      <w:r w:rsidRPr="00F14CBE">
        <w:rPr>
          <w:rFonts w:asciiTheme="majorBidi" w:hAnsiTheme="majorBidi" w:cstheme="majorBidi"/>
          <w:sz w:val="28"/>
          <w:szCs w:val="28"/>
        </w:rPr>
        <w:t xml:space="preserve"> aqueous outflow while </w:t>
      </w:r>
      <w:r w:rsidR="00AA4DF1">
        <w:rPr>
          <w:rFonts w:asciiTheme="majorBidi" w:hAnsiTheme="majorBidi" w:cstheme="majorBidi"/>
          <w:sz w:val="28"/>
          <w:szCs w:val="28"/>
        </w:rPr>
        <w:t>minimizing</w:t>
      </w:r>
      <w:r w:rsidRPr="00F14CBE">
        <w:rPr>
          <w:rFonts w:asciiTheme="majorBidi" w:hAnsiTheme="majorBidi" w:cstheme="majorBidi"/>
          <w:sz w:val="28"/>
          <w:szCs w:val="28"/>
        </w:rPr>
        <w:t xml:space="preserve"> </w:t>
      </w:r>
      <w:r w:rsidR="007315A6" w:rsidRPr="00F14CBE">
        <w:rPr>
          <w:rFonts w:asciiTheme="majorBidi" w:hAnsiTheme="majorBidi" w:cstheme="majorBidi"/>
          <w:sz w:val="28"/>
          <w:szCs w:val="28"/>
        </w:rPr>
        <w:t>neighboring</w:t>
      </w:r>
      <w:r w:rsidRPr="00F14CBE">
        <w:rPr>
          <w:rFonts w:asciiTheme="majorBidi" w:hAnsiTheme="majorBidi" w:cstheme="majorBidi"/>
          <w:sz w:val="28"/>
          <w:szCs w:val="28"/>
        </w:rPr>
        <w:t xml:space="preserve"> tissue </w:t>
      </w:r>
      <w:r w:rsidR="003538D3">
        <w:rPr>
          <w:rFonts w:asciiTheme="majorBidi" w:hAnsiTheme="majorBidi" w:cstheme="majorBidi"/>
          <w:sz w:val="28"/>
          <w:szCs w:val="28"/>
        </w:rPr>
        <w:t>damage</w:t>
      </w:r>
      <w:r w:rsidRPr="00F14CBE">
        <w:rPr>
          <w:rFonts w:asciiTheme="majorBidi" w:hAnsiTheme="majorBidi" w:cstheme="majorBidi"/>
          <w:sz w:val="28"/>
          <w:szCs w:val="28"/>
        </w:rPr>
        <w:t>.</w:t>
      </w:r>
      <w:r w:rsidR="00D16E70">
        <w:rPr>
          <w:rFonts w:asciiTheme="majorBidi" w:hAnsiTheme="majorBidi" w:cstheme="majorBidi"/>
          <w:sz w:val="28"/>
          <w:szCs w:val="28"/>
        </w:rPr>
        <w:t xml:space="preserve"> </w:t>
      </w:r>
      <w:r w:rsidRPr="00F14CBE">
        <w:rPr>
          <w:rFonts w:asciiTheme="majorBidi" w:hAnsiTheme="majorBidi" w:cstheme="majorBidi"/>
          <w:sz w:val="28"/>
          <w:szCs w:val="28"/>
        </w:rPr>
        <w:t xml:space="preserve">It also </w:t>
      </w:r>
      <w:r w:rsidR="004B59F6">
        <w:rPr>
          <w:rFonts w:asciiTheme="majorBidi" w:hAnsiTheme="majorBidi" w:cstheme="majorBidi"/>
          <w:sz w:val="28"/>
          <w:szCs w:val="28"/>
        </w:rPr>
        <w:t>harbors</w:t>
      </w:r>
      <w:r w:rsidRPr="00F14CBE">
        <w:rPr>
          <w:rFonts w:asciiTheme="majorBidi" w:hAnsiTheme="majorBidi" w:cstheme="majorBidi"/>
          <w:sz w:val="28"/>
          <w:szCs w:val="28"/>
        </w:rPr>
        <w:t xml:space="preserve"> </w:t>
      </w:r>
      <w:r w:rsidR="004B59F6">
        <w:rPr>
          <w:rFonts w:asciiTheme="majorBidi" w:hAnsiTheme="majorBidi" w:cstheme="majorBidi"/>
          <w:sz w:val="28"/>
          <w:szCs w:val="28"/>
        </w:rPr>
        <w:t xml:space="preserve">a </w:t>
      </w:r>
      <w:r w:rsidR="00AA4DF1">
        <w:rPr>
          <w:rFonts w:asciiTheme="majorBidi" w:hAnsiTheme="majorBidi" w:cstheme="majorBidi"/>
          <w:sz w:val="28"/>
          <w:szCs w:val="28"/>
        </w:rPr>
        <w:t xml:space="preserve">rapid recovery with a </w:t>
      </w:r>
      <w:r w:rsidR="004B59F6">
        <w:rPr>
          <w:rFonts w:asciiTheme="majorBidi" w:hAnsiTheme="majorBidi" w:cstheme="majorBidi"/>
          <w:sz w:val="28"/>
          <w:szCs w:val="28"/>
        </w:rPr>
        <w:t>good</w:t>
      </w:r>
      <w:r w:rsidRPr="00F14CBE">
        <w:rPr>
          <w:rFonts w:asciiTheme="majorBidi" w:hAnsiTheme="majorBidi" w:cstheme="majorBidi"/>
          <w:sz w:val="28"/>
          <w:szCs w:val="28"/>
        </w:rPr>
        <w:t xml:space="preserve"> safety profile.</w:t>
      </w:r>
      <w:r w:rsidR="00D16E7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vertAlign w:val="superscript"/>
        </w:rPr>
        <w:t>8</w:t>
      </w:r>
      <w:r w:rsidRPr="00F14CBE">
        <w:rPr>
          <w:rFonts w:asciiTheme="majorBidi" w:hAnsiTheme="majorBidi" w:cstheme="majorBidi"/>
          <w:sz w:val="28"/>
          <w:szCs w:val="28"/>
        </w:rPr>
        <w:t xml:space="preserve"> MIGS can be </w:t>
      </w:r>
      <w:r w:rsidR="007A3A56">
        <w:rPr>
          <w:rFonts w:asciiTheme="majorBidi" w:hAnsiTheme="majorBidi" w:cstheme="majorBidi"/>
          <w:sz w:val="28"/>
          <w:szCs w:val="28"/>
        </w:rPr>
        <w:t>done as</w:t>
      </w:r>
      <w:r w:rsidRPr="00F14CBE">
        <w:rPr>
          <w:rFonts w:asciiTheme="majorBidi" w:hAnsiTheme="majorBidi" w:cstheme="majorBidi"/>
          <w:sz w:val="28"/>
          <w:szCs w:val="28"/>
        </w:rPr>
        <w:t xml:space="preserve"> </w:t>
      </w:r>
      <w:r w:rsidR="007A3A56">
        <w:rPr>
          <w:rFonts w:asciiTheme="majorBidi" w:hAnsiTheme="majorBidi" w:cstheme="majorBidi"/>
          <w:sz w:val="28"/>
          <w:szCs w:val="28"/>
        </w:rPr>
        <w:t>a solo procedure</w:t>
      </w:r>
      <w:r w:rsidRPr="00F14CBE">
        <w:rPr>
          <w:rFonts w:asciiTheme="majorBidi" w:hAnsiTheme="majorBidi" w:cstheme="majorBidi"/>
          <w:sz w:val="28"/>
          <w:szCs w:val="28"/>
        </w:rPr>
        <w:t xml:space="preserve"> or </w:t>
      </w:r>
      <w:r w:rsidR="007A3A56">
        <w:rPr>
          <w:rFonts w:asciiTheme="majorBidi" w:hAnsiTheme="majorBidi" w:cstheme="majorBidi"/>
          <w:sz w:val="28"/>
          <w:szCs w:val="28"/>
        </w:rPr>
        <w:t>combined</w:t>
      </w:r>
      <w:r w:rsidRPr="00F14CBE">
        <w:rPr>
          <w:rFonts w:asciiTheme="majorBidi" w:hAnsiTheme="majorBidi" w:cstheme="majorBidi"/>
          <w:sz w:val="28"/>
          <w:szCs w:val="28"/>
        </w:rPr>
        <w:t xml:space="preserve"> with cataract surgery.</w:t>
      </w:r>
      <w:r w:rsidR="00D16E70">
        <w:rPr>
          <w:rFonts w:asciiTheme="majorBidi" w:hAnsiTheme="majorBidi" w:cstheme="majorBidi"/>
          <w:sz w:val="28"/>
          <w:szCs w:val="28"/>
        </w:rPr>
        <w:t xml:space="preserve"> </w:t>
      </w:r>
      <w:r w:rsidR="007A3A56">
        <w:rPr>
          <w:rFonts w:asciiTheme="majorBidi" w:hAnsiTheme="majorBidi" w:cstheme="majorBidi"/>
          <w:sz w:val="28"/>
          <w:szCs w:val="28"/>
        </w:rPr>
        <w:t>Preserving conjunctiva for a potential future filtering surgery is a benefit of MIGS.</w:t>
      </w:r>
      <w:r w:rsidR="00D16E70">
        <w:rPr>
          <w:rFonts w:asciiTheme="majorBidi" w:hAnsiTheme="majorBidi" w:cstheme="majorBidi"/>
          <w:sz w:val="28"/>
          <w:szCs w:val="28"/>
        </w:rPr>
        <w:t xml:space="preserve"> </w:t>
      </w:r>
      <w:r w:rsidR="007A3A56">
        <w:rPr>
          <w:rFonts w:asciiTheme="majorBidi" w:hAnsiTheme="majorBidi" w:cstheme="majorBidi"/>
          <w:sz w:val="28"/>
          <w:szCs w:val="28"/>
        </w:rPr>
        <w:t xml:space="preserve">Researchers </w:t>
      </w:r>
      <w:r w:rsidR="00D16E70">
        <w:rPr>
          <w:rFonts w:asciiTheme="majorBidi" w:hAnsiTheme="majorBidi" w:cstheme="majorBidi"/>
          <w:sz w:val="28"/>
          <w:szCs w:val="28"/>
        </w:rPr>
        <w:t>have</w:t>
      </w:r>
      <w:r w:rsidR="007A3A56">
        <w:rPr>
          <w:rFonts w:asciiTheme="majorBidi" w:hAnsiTheme="majorBidi" w:cstheme="majorBidi"/>
          <w:sz w:val="28"/>
          <w:szCs w:val="28"/>
        </w:rPr>
        <w:t xml:space="preserve"> extensively studied the effect of</w:t>
      </w:r>
      <w:r w:rsidRPr="00F14CBE">
        <w:rPr>
          <w:rFonts w:asciiTheme="majorBidi" w:hAnsiTheme="majorBidi" w:cstheme="majorBidi"/>
          <w:sz w:val="28"/>
          <w:szCs w:val="28"/>
        </w:rPr>
        <w:t xml:space="preserve"> combining MIGS</w:t>
      </w:r>
      <w:r w:rsidR="00AA4DF1">
        <w:rPr>
          <w:rFonts w:asciiTheme="majorBidi" w:hAnsiTheme="majorBidi" w:cstheme="majorBidi"/>
          <w:sz w:val="28"/>
          <w:szCs w:val="28"/>
        </w:rPr>
        <w:t xml:space="preserve"> with cataract surgery</w:t>
      </w:r>
      <w:r w:rsidR="007A3A56">
        <w:rPr>
          <w:rFonts w:asciiTheme="majorBidi" w:hAnsiTheme="majorBidi" w:cstheme="majorBidi"/>
          <w:sz w:val="28"/>
          <w:szCs w:val="28"/>
        </w:rPr>
        <w:t>.</w:t>
      </w:r>
      <w:r w:rsidR="00D16E70">
        <w:rPr>
          <w:rFonts w:asciiTheme="majorBidi" w:hAnsiTheme="majorBidi" w:cstheme="majorBidi"/>
          <w:sz w:val="28"/>
          <w:szCs w:val="28"/>
        </w:rPr>
        <w:t xml:space="preserve"> </w:t>
      </w:r>
      <w:r w:rsidR="007A3A56">
        <w:rPr>
          <w:rFonts w:asciiTheme="majorBidi" w:hAnsiTheme="majorBidi" w:cstheme="majorBidi"/>
          <w:sz w:val="28"/>
          <w:szCs w:val="28"/>
        </w:rPr>
        <w:t>They proved</w:t>
      </w:r>
      <w:r w:rsidRPr="00F14CBE">
        <w:rPr>
          <w:rFonts w:asciiTheme="majorBidi" w:hAnsiTheme="majorBidi" w:cstheme="majorBidi"/>
          <w:sz w:val="28"/>
          <w:szCs w:val="28"/>
        </w:rPr>
        <w:t xml:space="preserve"> a </w:t>
      </w:r>
      <w:r w:rsidR="00D708D4">
        <w:rPr>
          <w:rFonts w:asciiTheme="majorBidi" w:hAnsiTheme="majorBidi" w:cstheme="majorBidi"/>
          <w:sz w:val="28"/>
          <w:szCs w:val="28"/>
        </w:rPr>
        <w:t>more significant</w:t>
      </w:r>
      <w:r w:rsidRPr="00F14CBE">
        <w:rPr>
          <w:rFonts w:asciiTheme="majorBidi" w:hAnsiTheme="majorBidi" w:cstheme="majorBidi"/>
          <w:sz w:val="28"/>
          <w:szCs w:val="28"/>
        </w:rPr>
        <w:t xml:space="preserve"> </w:t>
      </w:r>
      <w:r w:rsidR="00AA4DF1">
        <w:rPr>
          <w:rFonts w:asciiTheme="majorBidi" w:hAnsiTheme="majorBidi" w:cstheme="majorBidi"/>
          <w:sz w:val="28"/>
          <w:szCs w:val="28"/>
        </w:rPr>
        <w:t>fall</w:t>
      </w:r>
      <w:r w:rsidRPr="00F14CBE">
        <w:rPr>
          <w:rFonts w:asciiTheme="majorBidi" w:hAnsiTheme="majorBidi" w:cstheme="majorBidi"/>
          <w:sz w:val="28"/>
          <w:szCs w:val="28"/>
        </w:rPr>
        <w:t xml:space="preserve"> in IOP and </w:t>
      </w:r>
      <w:r w:rsidR="00D708D4">
        <w:rPr>
          <w:rFonts w:asciiTheme="majorBidi" w:hAnsiTheme="majorBidi" w:cstheme="majorBidi"/>
          <w:sz w:val="28"/>
          <w:szCs w:val="28"/>
        </w:rPr>
        <w:t>decreased</w:t>
      </w:r>
      <w:r w:rsidRPr="00F14CBE">
        <w:rPr>
          <w:rFonts w:asciiTheme="majorBidi" w:hAnsiTheme="majorBidi" w:cstheme="majorBidi"/>
          <w:sz w:val="28"/>
          <w:szCs w:val="28"/>
        </w:rPr>
        <w:t xml:space="preserve"> the number of </w:t>
      </w:r>
      <w:r w:rsidR="00AA4DF1">
        <w:rPr>
          <w:rFonts w:asciiTheme="majorBidi" w:hAnsiTheme="majorBidi" w:cstheme="majorBidi"/>
          <w:sz w:val="28"/>
          <w:szCs w:val="28"/>
        </w:rPr>
        <w:t>IOP lowering</w:t>
      </w:r>
      <w:r w:rsidRPr="00F14CBE">
        <w:rPr>
          <w:rFonts w:asciiTheme="majorBidi" w:hAnsiTheme="majorBidi" w:cstheme="majorBidi"/>
          <w:sz w:val="28"/>
          <w:szCs w:val="28"/>
        </w:rPr>
        <w:t xml:space="preserve"> </w:t>
      </w:r>
      <w:r w:rsidR="00AA4DF1">
        <w:rPr>
          <w:rFonts w:asciiTheme="majorBidi" w:hAnsiTheme="majorBidi" w:cstheme="majorBidi"/>
          <w:sz w:val="28"/>
          <w:szCs w:val="28"/>
        </w:rPr>
        <w:t>medications</w:t>
      </w:r>
      <w:r w:rsidRPr="00F14CBE">
        <w:rPr>
          <w:rFonts w:asciiTheme="majorBidi" w:hAnsiTheme="majorBidi" w:cstheme="majorBidi"/>
          <w:sz w:val="28"/>
          <w:szCs w:val="28"/>
        </w:rPr>
        <w:t xml:space="preserve"> requir</w:t>
      </w:r>
      <w:r>
        <w:rPr>
          <w:rFonts w:asciiTheme="majorBidi" w:hAnsiTheme="majorBidi" w:cstheme="majorBidi"/>
          <w:sz w:val="28"/>
          <w:szCs w:val="28"/>
        </w:rPr>
        <w:t xml:space="preserve">ed than </w:t>
      </w:r>
      <w:r w:rsidR="003F3C25">
        <w:rPr>
          <w:rFonts w:asciiTheme="majorBidi" w:hAnsiTheme="majorBidi" w:cstheme="majorBidi"/>
          <w:sz w:val="28"/>
          <w:szCs w:val="28"/>
        </w:rPr>
        <w:t>phacoemulsification</w:t>
      </w:r>
      <w:r>
        <w:rPr>
          <w:rFonts w:asciiTheme="majorBidi" w:hAnsiTheme="majorBidi" w:cstheme="majorBidi"/>
          <w:sz w:val="28"/>
          <w:szCs w:val="28"/>
        </w:rPr>
        <w:t xml:space="preserve"> alone.</w:t>
      </w:r>
      <w:r w:rsidRPr="00F14CBE">
        <w:rPr>
          <w:rFonts w:asciiTheme="majorBidi" w:hAnsiTheme="majorBidi" w:cstheme="majorBidi"/>
          <w:sz w:val="28"/>
          <w:szCs w:val="28"/>
          <w:vertAlign w:val="superscript"/>
        </w:rPr>
        <w:t>9-12</w:t>
      </w:r>
      <w:r>
        <w:rPr>
          <w:rFonts w:asciiTheme="majorBidi" w:hAnsiTheme="majorBidi" w:cstheme="majorBidi"/>
          <w:sz w:val="28"/>
          <w:szCs w:val="28"/>
          <w:vertAlign w:val="superscript"/>
        </w:rPr>
        <w:t xml:space="preserve"> </w:t>
      </w:r>
      <w:r w:rsidRPr="00F14CBE">
        <w:rPr>
          <w:rFonts w:asciiTheme="majorBidi" w:hAnsiTheme="majorBidi" w:cstheme="majorBidi"/>
          <w:sz w:val="28"/>
          <w:szCs w:val="28"/>
        </w:rPr>
        <w:t xml:space="preserve">Goniotomy is </w:t>
      </w:r>
      <w:r w:rsidR="00AA4DF1">
        <w:rPr>
          <w:rFonts w:asciiTheme="majorBidi" w:hAnsiTheme="majorBidi" w:cstheme="majorBidi"/>
          <w:sz w:val="28"/>
          <w:szCs w:val="28"/>
        </w:rPr>
        <w:t>performed via an</w:t>
      </w:r>
      <w:r w:rsidRPr="00F14CBE">
        <w:rPr>
          <w:rFonts w:asciiTheme="majorBidi" w:hAnsiTheme="majorBidi" w:cstheme="majorBidi"/>
          <w:sz w:val="28"/>
          <w:szCs w:val="28"/>
        </w:rPr>
        <w:t xml:space="preserve"> ab </w:t>
      </w:r>
      <w:proofErr w:type="spellStart"/>
      <w:r w:rsidRPr="00F14CBE">
        <w:rPr>
          <w:rFonts w:asciiTheme="majorBidi" w:hAnsiTheme="majorBidi" w:cstheme="majorBidi"/>
          <w:sz w:val="28"/>
          <w:szCs w:val="28"/>
        </w:rPr>
        <w:t>interno</w:t>
      </w:r>
      <w:proofErr w:type="spellEnd"/>
      <w:r w:rsidRPr="00F14CBE">
        <w:rPr>
          <w:rFonts w:asciiTheme="majorBidi" w:hAnsiTheme="majorBidi" w:cstheme="majorBidi"/>
          <w:sz w:val="28"/>
          <w:szCs w:val="28"/>
        </w:rPr>
        <w:t xml:space="preserve"> </w:t>
      </w:r>
      <w:r w:rsidR="00D754F8">
        <w:rPr>
          <w:rFonts w:asciiTheme="majorBidi" w:hAnsiTheme="majorBidi" w:cstheme="majorBidi"/>
          <w:sz w:val="28"/>
          <w:szCs w:val="28"/>
        </w:rPr>
        <w:lastRenderedPageBreak/>
        <w:t>approach</w:t>
      </w:r>
      <w:r w:rsidRPr="00F14CBE">
        <w:rPr>
          <w:rFonts w:asciiTheme="majorBidi" w:hAnsiTheme="majorBidi" w:cstheme="majorBidi"/>
          <w:sz w:val="28"/>
          <w:szCs w:val="28"/>
        </w:rPr>
        <w:t xml:space="preserve"> with a needle </w:t>
      </w:r>
      <w:r w:rsidR="00AA4DF1">
        <w:rPr>
          <w:rFonts w:asciiTheme="majorBidi" w:hAnsiTheme="majorBidi" w:cstheme="majorBidi"/>
          <w:sz w:val="28"/>
          <w:szCs w:val="28"/>
        </w:rPr>
        <w:t>or knife guided by</w:t>
      </w:r>
      <w:r w:rsidR="00D754F8">
        <w:rPr>
          <w:rFonts w:asciiTheme="majorBidi" w:hAnsiTheme="majorBidi" w:cstheme="majorBidi"/>
          <w:sz w:val="28"/>
          <w:szCs w:val="28"/>
        </w:rPr>
        <w:t xml:space="preserve"> a</w:t>
      </w:r>
      <w:r w:rsidRPr="00F14CBE">
        <w:rPr>
          <w:rFonts w:asciiTheme="majorBidi" w:hAnsiTheme="majorBidi" w:cstheme="majorBidi"/>
          <w:sz w:val="28"/>
          <w:szCs w:val="28"/>
        </w:rPr>
        <w:t xml:space="preserve"> </w:t>
      </w:r>
      <w:r w:rsidR="00D754F8">
        <w:rPr>
          <w:rFonts w:asciiTheme="majorBidi" w:hAnsiTheme="majorBidi" w:cstheme="majorBidi"/>
          <w:sz w:val="28"/>
          <w:szCs w:val="28"/>
        </w:rPr>
        <w:t>surgical gonioprism</w:t>
      </w:r>
      <w:r w:rsidRPr="00F14CBE">
        <w:rPr>
          <w:rFonts w:asciiTheme="majorBidi" w:hAnsiTheme="majorBidi" w:cstheme="majorBidi"/>
          <w:sz w:val="28"/>
          <w:szCs w:val="28"/>
        </w:rPr>
        <w:t>.</w:t>
      </w:r>
      <w:r w:rsidR="00D16E70">
        <w:rPr>
          <w:rFonts w:asciiTheme="majorBidi" w:hAnsiTheme="majorBidi" w:cstheme="majorBidi"/>
          <w:sz w:val="28"/>
          <w:szCs w:val="28"/>
          <w:vertAlign w:val="superscript"/>
        </w:rPr>
        <w:t xml:space="preserve"> </w:t>
      </w:r>
      <w:r>
        <w:rPr>
          <w:rFonts w:asciiTheme="majorBidi" w:hAnsiTheme="majorBidi" w:cstheme="majorBidi"/>
          <w:sz w:val="28"/>
          <w:szCs w:val="28"/>
          <w:vertAlign w:val="superscript"/>
        </w:rPr>
        <w:t>13</w:t>
      </w:r>
      <w:r w:rsidRPr="00F14CB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14CBE">
        <w:rPr>
          <w:rFonts w:asciiTheme="majorBidi" w:hAnsiTheme="majorBidi" w:cstheme="majorBidi"/>
          <w:sz w:val="28"/>
          <w:szCs w:val="28"/>
        </w:rPr>
        <w:t>Barkan</w:t>
      </w:r>
      <w:proofErr w:type="spellEnd"/>
      <w:r w:rsidRPr="00F14CBE">
        <w:rPr>
          <w:rFonts w:asciiTheme="majorBidi" w:hAnsiTheme="majorBidi" w:cstheme="majorBidi"/>
          <w:sz w:val="28"/>
          <w:szCs w:val="28"/>
        </w:rPr>
        <w:t xml:space="preserve"> described</w:t>
      </w:r>
      <w:r w:rsidR="00D754F8">
        <w:rPr>
          <w:rFonts w:asciiTheme="majorBidi" w:hAnsiTheme="majorBidi" w:cstheme="majorBidi"/>
          <w:sz w:val="28"/>
          <w:szCs w:val="28"/>
        </w:rPr>
        <w:t xml:space="preserve"> the surgical principles of</w:t>
      </w:r>
      <w:r w:rsidRPr="00F14CBE">
        <w:rPr>
          <w:rFonts w:asciiTheme="majorBidi" w:hAnsiTheme="majorBidi" w:cstheme="majorBidi"/>
          <w:sz w:val="28"/>
          <w:szCs w:val="28"/>
        </w:rPr>
        <w:t xml:space="preserve"> </w:t>
      </w:r>
      <w:r w:rsidR="00D754F8">
        <w:rPr>
          <w:rFonts w:asciiTheme="majorBidi" w:hAnsiTheme="majorBidi" w:cstheme="majorBidi"/>
          <w:sz w:val="28"/>
          <w:szCs w:val="28"/>
        </w:rPr>
        <w:t>goniotomy</w:t>
      </w:r>
      <w:r w:rsidRPr="00F14CBE">
        <w:rPr>
          <w:rFonts w:asciiTheme="majorBidi" w:hAnsiTheme="majorBidi" w:cstheme="majorBidi"/>
          <w:sz w:val="28"/>
          <w:szCs w:val="28"/>
        </w:rPr>
        <w:t xml:space="preserve"> </w:t>
      </w:r>
      <w:r w:rsidR="00AA4DF1">
        <w:rPr>
          <w:rFonts w:asciiTheme="majorBidi" w:hAnsiTheme="majorBidi" w:cstheme="majorBidi"/>
          <w:sz w:val="28"/>
          <w:szCs w:val="28"/>
        </w:rPr>
        <w:t xml:space="preserve">in congenital glaucoma </w:t>
      </w:r>
      <w:r w:rsidRPr="00F14CBE">
        <w:rPr>
          <w:rFonts w:asciiTheme="majorBidi" w:hAnsiTheme="majorBidi" w:cstheme="majorBidi"/>
          <w:sz w:val="28"/>
          <w:szCs w:val="28"/>
        </w:rPr>
        <w:t xml:space="preserve">and </w:t>
      </w:r>
      <w:r w:rsidR="00AA4DF1">
        <w:rPr>
          <w:rFonts w:asciiTheme="majorBidi" w:hAnsiTheme="majorBidi" w:cstheme="majorBidi"/>
          <w:sz w:val="28"/>
          <w:szCs w:val="28"/>
        </w:rPr>
        <w:t>proved</w:t>
      </w:r>
      <w:r w:rsidRPr="00F14CBE">
        <w:rPr>
          <w:rFonts w:asciiTheme="majorBidi" w:hAnsiTheme="majorBidi" w:cstheme="majorBidi"/>
          <w:sz w:val="28"/>
          <w:szCs w:val="28"/>
        </w:rPr>
        <w:t xml:space="preserve"> its efficacy</w:t>
      </w:r>
      <w:r>
        <w:rPr>
          <w:rFonts w:asciiTheme="majorBidi" w:hAnsiTheme="majorBidi" w:cstheme="majorBidi"/>
          <w:sz w:val="28"/>
          <w:szCs w:val="28"/>
        </w:rPr>
        <w:t>.</w:t>
      </w:r>
      <w:r w:rsidRPr="00F14CBE">
        <w:rPr>
          <w:rFonts w:asciiTheme="majorBidi" w:hAnsiTheme="majorBidi" w:cstheme="majorBidi"/>
          <w:sz w:val="28"/>
          <w:szCs w:val="28"/>
          <w:vertAlign w:val="superscript"/>
        </w:rPr>
        <w:t>12</w:t>
      </w:r>
      <w:r w:rsidRPr="00F14CBE">
        <w:rPr>
          <w:rFonts w:asciiTheme="majorBidi" w:hAnsiTheme="majorBidi" w:cstheme="majorBidi"/>
          <w:sz w:val="28"/>
          <w:szCs w:val="28"/>
        </w:rPr>
        <w:t xml:space="preserve"> </w:t>
      </w:r>
      <w:r w:rsidR="00037DEF">
        <w:rPr>
          <w:rFonts w:asciiTheme="majorBidi" w:hAnsiTheme="majorBidi" w:cstheme="majorBidi"/>
          <w:sz w:val="28"/>
          <w:szCs w:val="28"/>
        </w:rPr>
        <w:t>Goniotomy is also proving good results in treating patients with adult POAG.</w:t>
      </w:r>
      <w:r w:rsidR="00037DEF">
        <w:rPr>
          <w:rFonts w:asciiTheme="majorBidi" w:hAnsiTheme="majorBidi" w:cstheme="majorBidi"/>
          <w:sz w:val="28"/>
          <w:szCs w:val="28"/>
          <w:vertAlign w:val="superscript"/>
        </w:rPr>
        <w:t>7-10</w:t>
      </w:r>
    </w:p>
    <w:p w14:paraId="60DA460A" w14:textId="6CBB75C3" w:rsidR="005362AE" w:rsidRDefault="00D708D4" w:rsidP="00F14CBE">
      <w:pPr>
        <w:spacing w:before="100" w:beforeAutospacing="1" w:after="100" w:afterAutospacing="1" w:line="48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This</w:t>
      </w:r>
      <w:r w:rsidR="00C76E30">
        <w:rPr>
          <w:rFonts w:asciiTheme="majorBidi" w:hAnsiTheme="majorBidi" w:cstheme="majorBidi"/>
          <w:sz w:val="28"/>
          <w:szCs w:val="28"/>
        </w:rPr>
        <w:t xml:space="preserve"> study</w:t>
      </w:r>
      <w:r w:rsidR="00037DEF">
        <w:rPr>
          <w:rFonts w:asciiTheme="majorBidi" w:hAnsiTheme="majorBidi" w:cstheme="majorBidi"/>
          <w:sz w:val="28"/>
          <w:szCs w:val="28"/>
        </w:rPr>
        <w:t xml:space="preserve"> aimed to assess</w:t>
      </w:r>
      <w:r w:rsidR="005362AE">
        <w:rPr>
          <w:rFonts w:asciiTheme="majorBidi" w:hAnsiTheme="majorBidi" w:cstheme="majorBidi"/>
          <w:sz w:val="28"/>
          <w:szCs w:val="28"/>
        </w:rPr>
        <w:t xml:space="preserve"> </w:t>
      </w:r>
      <w:r w:rsidR="007458E2">
        <w:rPr>
          <w:rFonts w:asciiTheme="majorBidi" w:hAnsiTheme="majorBidi" w:cstheme="majorBidi"/>
          <w:sz w:val="28"/>
          <w:szCs w:val="28"/>
        </w:rPr>
        <w:t xml:space="preserve">the </w:t>
      </w:r>
      <w:r w:rsidR="00037DEF">
        <w:rPr>
          <w:rFonts w:asciiTheme="majorBidi" w:hAnsiTheme="majorBidi" w:cstheme="majorBidi"/>
          <w:sz w:val="28"/>
          <w:szCs w:val="28"/>
        </w:rPr>
        <w:t>efficacy</w:t>
      </w:r>
      <w:r w:rsidR="007458E2">
        <w:rPr>
          <w:rFonts w:asciiTheme="majorBidi" w:hAnsiTheme="majorBidi" w:cstheme="majorBidi"/>
          <w:sz w:val="28"/>
          <w:szCs w:val="28"/>
        </w:rPr>
        <w:t xml:space="preserve"> </w:t>
      </w:r>
      <w:r w:rsidR="00037DEF">
        <w:rPr>
          <w:rFonts w:asciiTheme="majorBidi" w:hAnsiTheme="majorBidi" w:cstheme="majorBidi"/>
          <w:sz w:val="28"/>
          <w:szCs w:val="28"/>
        </w:rPr>
        <w:t xml:space="preserve">and safety </w:t>
      </w:r>
      <w:r w:rsidR="007458E2">
        <w:rPr>
          <w:rFonts w:asciiTheme="majorBidi" w:hAnsiTheme="majorBidi" w:cstheme="majorBidi"/>
          <w:sz w:val="28"/>
          <w:szCs w:val="28"/>
        </w:rPr>
        <w:t xml:space="preserve">of </w:t>
      </w:r>
      <w:proofErr w:type="spellStart"/>
      <w:r w:rsidR="005362AE">
        <w:rPr>
          <w:rFonts w:asciiTheme="majorBidi" w:hAnsiTheme="majorBidi" w:cstheme="majorBidi"/>
          <w:sz w:val="28"/>
          <w:szCs w:val="28"/>
        </w:rPr>
        <w:t>phaco</w:t>
      </w:r>
      <w:proofErr w:type="spellEnd"/>
      <w:r w:rsidR="00C20C19">
        <w:rPr>
          <w:rFonts w:asciiTheme="majorBidi" w:hAnsiTheme="majorBidi" w:cstheme="majorBidi"/>
          <w:sz w:val="28"/>
          <w:szCs w:val="28"/>
        </w:rPr>
        <w:t xml:space="preserve"> surgery</w:t>
      </w:r>
      <w:r w:rsidR="005362AE">
        <w:rPr>
          <w:rFonts w:asciiTheme="majorBidi" w:hAnsiTheme="majorBidi" w:cstheme="majorBidi"/>
          <w:sz w:val="28"/>
          <w:szCs w:val="28"/>
        </w:rPr>
        <w:t xml:space="preserve"> versus combined </w:t>
      </w:r>
      <w:proofErr w:type="spellStart"/>
      <w:r w:rsidR="005362AE">
        <w:rPr>
          <w:rFonts w:asciiTheme="majorBidi" w:hAnsiTheme="majorBidi" w:cstheme="majorBidi"/>
          <w:sz w:val="28"/>
          <w:szCs w:val="28"/>
        </w:rPr>
        <w:t>phaco</w:t>
      </w:r>
      <w:proofErr w:type="spellEnd"/>
      <w:r w:rsidR="005362AE">
        <w:rPr>
          <w:rFonts w:asciiTheme="majorBidi" w:hAnsiTheme="majorBidi" w:cstheme="majorBidi"/>
          <w:sz w:val="28"/>
          <w:szCs w:val="28"/>
        </w:rPr>
        <w:t xml:space="preserve">-goniotomy </w:t>
      </w:r>
      <w:r w:rsidR="00C76E30">
        <w:rPr>
          <w:rFonts w:asciiTheme="majorBidi" w:hAnsiTheme="majorBidi" w:cstheme="majorBidi"/>
          <w:sz w:val="28"/>
          <w:szCs w:val="28"/>
        </w:rPr>
        <w:t xml:space="preserve">in primary </w:t>
      </w:r>
      <w:r w:rsidR="00ED7D33">
        <w:rPr>
          <w:rFonts w:asciiTheme="majorBidi" w:hAnsiTheme="majorBidi" w:cstheme="majorBidi"/>
          <w:sz w:val="28"/>
          <w:szCs w:val="28"/>
        </w:rPr>
        <w:t>open-angle</w:t>
      </w:r>
      <w:r w:rsidR="00C76E30">
        <w:rPr>
          <w:rFonts w:asciiTheme="majorBidi" w:hAnsiTheme="majorBidi" w:cstheme="majorBidi"/>
          <w:sz w:val="28"/>
          <w:szCs w:val="28"/>
        </w:rPr>
        <w:t xml:space="preserve"> glaucoma (POAG)</w:t>
      </w:r>
      <w:r w:rsidR="00C20C19">
        <w:rPr>
          <w:rFonts w:asciiTheme="majorBidi" w:hAnsiTheme="majorBidi" w:cstheme="majorBidi"/>
          <w:sz w:val="28"/>
          <w:szCs w:val="28"/>
        </w:rPr>
        <w:t xml:space="preserve"> patients</w:t>
      </w:r>
      <w:r w:rsidR="005362AE">
        <w:rPr>
          <w:rFonts w:asciiTheme="majorBidi" w:hAnsiTheme="majorBidi" w:cstheme="majorBidi"/>
          <w:sz w:val="28"/>
          <w:szCs w:val="28"/>
        </w:rPr>
        <w:t>.</w:t>
      </w:r>
    </w:p>
    <w:p w14:paraId="506F19FC" w14:textId="5144BC93" w:rsidR="00443F23" w:rsidRDefault="00443F23" w:rsidP="00B552B8">
      <w:pPr>
        <w:spacing w:before="100" w:beforeAutospacing="1" w:after="100" w:afterAutospacing="1" w:line="48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14:paraId="5503400C" w14:textId="21F65782" w:rsidR="00443F23" w:rsidRDefault="00443F23" w:rsidP="00B552B8">
      <w:pPr>
        <w:spacing w:before="100" w:beforeAutospacing="1" w:after="100" w:afterAutospacing="1" w:line="480" w:lineRule="auto"/>
        <w:ind w:firstLine="567"/>
        <w:jc w:val="both"/>
        <w:rPr>
          <w:b/>
          <w:bCs/>
          <w:sz w:val="28"/>
          <w:szCs w:val="28"/>
        </w:rPr>
      </w:pPr>
      <w:r w:rsidRPr="00443F23">
        <w:rPr>
          <w:b/>
          <w:bCs/>
          <w:sz w:val="28"/>
          <w:szCs w:val="28"/>
        </w:rPr>
        <w:t>Patients and Methods</w:t>
      </w:r>
      <w:r>
        <w:rPr>
          <w:b/>
          <w:bCs/>
          <w:sz w:val="28"/>
          <w:szCs w:val="28"/>
        </w:rPr>
        <w:t>:</w:t>
      </w:r>
    </w:p>
    <w:p w14:paraId="0287CE81" w14:textId="4D9221B2" w:rsidR="004802B2" w:rsidRPr="001C7DF7" w:rsidRDefault="00496403" w:rsidP="001C7DF7">
      <w:pPr>
        <w:spacing w:before="100" w:beforeAutospacing="1" w:after="100" w:afterAutospacing="1" w:line="480" w:lineRule="auto"/>
        <w:ind w:firstLine="567"/>
        <w:jc w:val="both"/>
        <w:rPr>
          <w:sz w:val="28"/>
          <w:szCs w:val="28"/>
          <w:lang w:val="en-EG"/>
        </w:rPr>
      </w:pPr>
      <w:r>
        <w:rPr>
          <w:sz w:val="28"/>
          <w:szCs w:val="28"/>
        </w:rPr>
        <w:t xml:space="preserve">This is a </w:t>
      </w:r>
      <w:r w:rsidR="00CD2708">
        <w:rPr>
          <w:sz w:val="28"/>
          <w:szCs w:val="28"/>
        </w:rPr>
        <w:t xml:space="preserve">comparative, </w:t>
      </w:r>
      <w:r w:rsidR="00CC5749">
        <w:rPr>
          <w:sz w:val="28"/>
          <w:szCs w:val="28"/>
        </w:rPr>
        <w:t>retrospective</w:t>
      </w:r>
      <w:r w:rsidR="00D33A1B">
        <w:rPr>
          <w:sz w:val="28"/>
          <w:szCs w:val="28"/>
        </w:rPr>
        <w:t xml:space="preserve"> </w:t>
      </w:r>
      <w:r w:rsidR="009118C6">
        <w:rPr>
          <w:sz w:val="28"/>
          <w:szCs w:val="28"/>
        </w:rPr>
        <w:t>study</w:t>
      </w:r>
      <w:r w:rsidR="00C20C19">
        <w:rPr>
          <w:sz w:val="28"/>
          <w:szCs w:val="28"/>
        </w:rPr>
        <w:t>. It was conducted</w:t>
      </w:r>
      <w:r>
        <w:rPr>
          <w:sz w:val="28"/>
          <w:szCs w:val="28"/>
        </w:rPr>
        <w:t xml:space="preserve"> at </w:t>
      </w:r>
      <w:r w:rsidR="00C20C19">
        <w:rPr>
          <w:sz w:val="28"/>
          <w:szCs w:val="28"/>
        </w:rPr>
        <w:t xml:space="preserve">the ophthalmology department, </w:t>
      </w:r>
      <w:proofErr w:type="spellStart"/>
      <w:r w:rsidR="000216A3">
        <w:rPr>
          <w:sz w:val="28"/>
          <w:szCs w:val="28"/>
        </w:rPr>
        <w:t>Benha</w:t>
      </w:r>
      <w:proofErr w:type="spellEnd"/>
      <w:r w:rsidR="000216A3">
        <w:rPr>
          <w:sz w:val="28"/>
          <w:szCs w:val="28"/>
        </w:rPr>
        <w:t xml:space="preserve"> University Hospitals</w:t>
      </w:r>
      <w:r w:rsidR="00050CC7">
        <w:rPr>
          <w:sz w:val="28"/>
          <w:szCs w:val="28"/>
        </w:rPr>
        <w:t>,</w:t>
      </w:r>
      <w:r w:rsidR="00152213">
        <w:rPr>
          <w:sz w:val="28"/>
          <w:szCs w:val="28"/>
        </w:rPr>
        <w:t xml:space="preserve"> from January 2018 to January 2022</w:t>
      </w:r>
      <w:r w:rsidR="00B13C15">
        <w:rPr>
          <w:sz w:val="28"/>
          <w:szCs w:val="28"/>
        </w:rPr>
        <w:t>.</w:t>
      </w:r>
      <w:r w:rsidR="00D16E70">
        <w:rPr>
          <w:sz w:val="28"/>
          <w:szCs w:val="28"/>
        </w:rPr>
        <w:t xml:space="preserve"> </w:t>
      </w:r>
      <w:r w:rsidR="00D708D4">
        <w:rPr>
          <w:sz w:val="28"/>
          <w:szCs w:val="28"/>
        </w:rPr>
        <w:t xml:space="preserve">Our local ethical committee at </w:t>
      </w:r>
      <w:proofErr w:type="spellStart"/>
      <w:r w:rsidR="00D708D4">
        <w:rPr>
          <w:sz w:val="28"/>
          <w:szCs w:val="28"/>
        </w:rPr>
        <w:t>Benha</w:t>
      </w:r>
      <w:proofErr w:type="spellEnd"/>
      <w:r w:rsidR="00D708D4">
        <w:rPr>
          <w:sz w:val="28"/>
          <w:szCs w:val="28"/>
        </w:rPr>
        <w:t xml:space="preserve"> Faculty of Medicine approved the study</w:t>
      </w:r>
      <w:r w:rsidR="000216A3">
        <w:rPr>
          <w:sz w:val="28"/>
          <w:szCs w:val="28"/>
        </w:rPr>
        <w:t xml:space="preserve"> (</w:t>
      </w:r>
      <w:r w:rsidR="000216A3" w:rsidRPr="000216A3">
        <w:rPr>
          <w:sz w:val="28"/>
          <w:szCs w:val="28"/>
        </w:rPr>
        <w:t>Approval number: RC 5-12-2021</w:t>
      </w:r>
      <w:r w:rsidR="000216A3">
        <w:rPr>
          <w:sz w:val="28"/>
          <w:szCs w:val="28"/>
        </w:rPr>
        <w:t>)</w:t>
      </w:r>
      <w:r w:rsidR="003F3C25">
        <w:rPr>
          <w:sz w:val="28"/>
          <w:szCs w:val="28"/>
        </w:rPr>
        <w:t>. Our research</w:t>
      </w:r>
      <w:r>
        <w:rPr>
          <w:sz w:val="28"/>
          <w:szCs w:val="28"/>
        </w:rPr>
        <w:t xml:space="preserve"> </w:t>
      </w:r>
      <w:r w:rsidR="00224EE6">
        <w:rPr>
          <w:sz w:val="28"/>
          <w:szCs w:val="28"/>
        </w:rPr>
        <w:t>adheres</w:t>
      </w:r>
      <w:r>
        <w:rPr>
          <w:sz w:val="28"/>
          <w:szCs w:val="28"/>
        </w:rPr>
        <w:t xml:space="preserve"> </w:t>
      </w:r>
      <w:r w:rsidRPr="00496403">
        <w:rPr>
          <w:sz w:val="28"/>
          <w:szCs w:val="28"/>
        </w:rPr>
        <w:t>to the tenets of the</w:t>
      </w:r>
      <w:r>
        <w:rPr>
          <w:sz w:val="28"/>
          <w:szCs w:val="28"/>
        </w:rPr>
        <w:t xml:space="preserve"> </w:t>
      </w:r>
      <w:r w:rsidRPr="00496403">
        <w:rPr>
          <w:sz w:val="28"/>
          <w:szCs w:val="28"/>
        </w:rPr>
        <w:t>Declaration of Helsinki.</w:t>
      </w:r>
      <w:r w:rsidR="00D16E70">
        <w:rPr>
          <w:sz w:val="28"/>
          <w:szCs w:val="28"/>
        </w:rPr>
        <w:t xml:space="preserve"> </w:t>
      </w:r>
      <w:r w:rsidR="00AB3930">
        <w:rPr>
          <w:sz w:val="28"/>
          <w:szCs w:val="28"/>
        </w:rPr>
        <w:t xml:space="preserve">The study </w:t>
      </w:r>
      <w:r w:rsidR="000216A3">
        <w:rPr>
          <w:sz w:val="28"/>
          <w:szCs w:val="28"/>
        </w:rPr>
        <w:t>included</w:t>
      </w:r>
      <w:r w:rsidR="00AB3930">
        <w:rPr>
          <w:sz w:val="28"/>
          <w:szCs w:val="28"/>
        </w:rPr>
        <w:t xml:space="preserve"> </w:t>
      </w:r>
      <w:r w:rsidR="00582FA8">
        <w:rPr>
          <w:sz w:val="28"/>
          <w:szCs w:val="28"/>
        </w:rPr>
        <w:t xml:space="preserve">adult </w:t>
      </w:r>
      <w:r w:rsidR="00AB3930">
        <w:rPr>
          <w:sz w:val="28"/>
          <w:szCs w:val="28"/>
        </w:rPr>
        <w:t>patients</w:t>
      </w:r>
      <w:r>
        <w:rPr>
          <w:sz w:val="28"/>
          <w:szCs w:val="28"/>
        </w:rPr>
        <w:t xml:space="preserve"> with </w:t>
      </w:r>
      <w:r w:rsidR="00D708D4">
        <w:rPr>
          <w:sz w:val="28"/>
          <w:szCs w:val="28"/>
        </w:rPr>
        <w:t>cataracts</w:t>
      </w:r>
      <w:r>
        <w:rPr>
          <w:sz w:val="28"/>
          <w:szCs w:val="28"/>
        </w:rPr>
        <w:t xml:space="preserve"> </w:t>
      </w:r>
      <w:r w:rsidR="000216A3">
        <w:rPr>
          <w:sz w:val="28"/>
          <w:szCs w:val="28"/>
        </w:rPr>
        <w:t>and</w:t>
      </w:r>
      <w:r>
        <w:rPr>
          <w:sz w:val="28"/>
          <w:szCs w:val="28"/>
        </w:rPr>
        <w:t xml:space="preserve"> primary </w:t>
      </w:r>
      <w:r w:rsidR="00224EE6">
        <w:rPr>
          <w:sz w:val="28"/>
          <w:szCs w:val="28"/>
        </w:rPr>
        <w:t>open-angle</w:t>
      </w:r>
      <w:r>
        <w:rPr>
          <w:sz w:val="28"/>
          <w:szCs w:val="28"/>
        </w:rPr>
        <w:t xml:space="preserve"> glaucoma</w:t>
      </w:r>
      <w:r w:rsidR="000216A3">
        <w:rPr>
          <w:sz w:val="28"/>
          <w:szCs w:val="28"/>
        </w:rPr>
        <w:t>.</w:t>
      </w:r>
      <w:r w:rsidR="00D16E70">
        <w:rPr>
          <w:sz w:val="28"/>
          <w:szCs w:val="28"/>
        </w:rPr>
        <w:t xml:space="preserve"> </w:t>
      </w:r>
      <w:r w:rsidR="00CD2708">
        <w:rPr>
          <w:sz w:val="28"/>
          <w:szCs w:val="28"/>
        </w:rPr>
        <w:t>We</w:t>
      </w:r>
      <w:r w:rsidR="000216A3">
        <w:rPr>
          <w:sz w:val="28"/>
          <w:szCs w:val="28"/>
        </w:rPr>
        <w:t xml:space="preserve"> </w:t>
      </w:r>
      <w:r w:rsidR="00CD2708">
        <w:rPr>
          <w:sz w:val="28"/>
          <w:szCs w:val="28"/>
        </w:rPr>
        <w:t xml:space="preserve">recruited all </w:t>
      </w:r>
      <w:r w:rsidR="000216A3">
        <w:rPr>
          <w:sz w:val="28"/>
          <w:szCs w:val="28"/>
        </w:rPr>
        <w:t xml:space="preserve">patients from the glaucoma </w:t>
      </w:r>
      <w:r w:rsidR="00CD2708">
        <w:rPr>
          <w:sz w:val="28"/>
          <w:szCs w:val="28"/>
        </w:rPr>
        <w:t xml:space="preserve">outpatient </w:t>
      </w:r>
      <w:r w:rsidR="000216A3">
        <w:rPr>
          <w:sz w:val="28"/>
          <w:szCs w:val="28"/>
        </w:rPr>
        <w:t xml:space="preserve">clinic at </w:t>
      </w:r>
      <w:proofErr w:type="spellStart"/>
      <w:r w:rsidR="000216A3">
        <w:rPr>
          <w:sz w:val="28"/>
          <w:szCs w:val="28"/>
        </w:rPr>
        <w:t>Benha</w:t>
      </w:r>
      <w:proofErr w:type="spellEnd"/>
      <w:r w:rsidR="000216A3">
        <w:rPr>
          <w:sz w:val="28"/>
          <w:szCs w:val="28"/>
        </w:rPr>
        <w:t xml:space="preserve"> University Hospitals.</w:t>
      </w:r>
      <w:r w:rsidR="00D16E70">
        <w:rPr>
          <w:sz w:val="28"/>
          <w:szCs w:val="28"/>
        </w:rPr>
        <w:t xml:space="preserve"> </w:t>
      </w:r>
      <w:r w:rsidR="000216A3">
        <w:rPr>
          <w:sz w:val="28"/>
          <w:szCs w:val="28"/>
        </w:rPr>
        <w:t>They had</w:t>
      </w:r>
      <w:r w:rsidR="00146CFC">
        <w:rPr>
          <w:sz w:val="28"/>
          <w:szCs w:val="28"/>
        </w:rPr>
        <w:t xml:space="preserve"> </w:t>
      </w:r>
      <w:r w:rsidR="00D708D4">
        <w:rPr>
          <w:sz w:val="28"/>
          <w:szCs w:val="28"/>
        </w:rPr>
        <w:t xml:space="preserve">a </w:t>
      </w:r>
      <w:r w:rsidR="00CD2708">
        <w:rPr>
          <w:sz w:val="28"/>
          <w:szCs w:val="28"/>
        </w:rPr>
        <w:t xml:space="preserve">standard examination with </w:t>
      </w:r>
      <w:r w:rsidR="00224EE6">
        <w:rPr>
          <w:sz w:val="28"/>
          <w:szCs w:val="28"/>
        </w:rPr>
        <w:t>slit-lamp</w:t>
      </w:r>
      <w:r w:rsidR="00146CFC">
        <w:rPr>
          <w:sz w:val="28"/>
          <w:szCs w:val="28"/>
        </w:rPr>
        <w:t xml:space="preserve">, visual acuity </w:t>
      </w:r>
      <w:r w:rsidR="00CD2708">
        <w:rPr>
          <w:sz w:val="28"/>
          <w:szCs w:val="28"/>
        </w:rPr>
        <w:t>with</w:t>
      </w:r>
      <w:r w:rsidR="00146CFC">
        <w:rPr>
          <w:sz w:val="28"/>
          <w:szCs w:val="28"/>
        </w:rPr>
        <w:t xml:space="preserve"> </w:t>
      </w:r>
      <w:r w:rsidR="00224EE6">
        <w:rPr>
          <w:sz w:val="28"/>
          <w:szCs w:val="28"/>
        </w:rPr>
        <w:t xml:space="preserve">the </w:t>
      </w:r>
      <w:r w:rsidR="00146CFC">
        <w:rPr>
          <w:sz w:val="28"/>
          <w:szCs w:val="28"/>
        </w:rPr>
        <w:t xml:space="preserve">Snellen chart, IOP </w:t>
      </w:r>
      <w:r w:rsidR="00CD2708">
        <w:rPr>
          <w:sz w:val="28"/>
          <w:szCs w:val="28"/>
        </w:rPr>
        <w:t>check</w:t>
      </w:r>
      <w:r w:rsidR="00146CFC">
        <w:rPr>
          <w:sz w:val="28"/>
          <w:szCs w:val="28"/>
        </w:rPr>
        <w:t xml:space="preserve"> (Goldman applanation tonometer), fundus examination with the </w:t>
      </w:r>
      <w:r w:rsidR="004B59F6">
        <w:rPr>
          <w:sz w:val="28"/>
          <w:szCs w:val="28"/>
        </w:rPr>
        <w:t>indirect ophthalmoscope</w:t>
      </w:r>
      <w:r w:rsidR="00146CFC">
        <w:rPr>
          <w:sz w:val="28"/>
          <w:szCs w:val="28"/>
        </w:rPr>
        <w:t>, and</w:t>
      </w:r>
      <w:r w:rsidR="00224EE6">
        <w:rPr>
          <w:sz w:val="28"/>
          <w:szCs w:val="28"/>
        </w:rPr>
        <w:t xml:space="preserve"> </w:t>
      </w:r>
      <w:r w:rsidR="0003130E">
        <w:rPr>
          <w:sz w:val="28"/>
          <w:szCs w:val="28"/>
        </w:rPr>
        <w:t>gonioscopy</w:t>
      </w:r>
      <w:r w:rsidR="00146CFC">
        <w:rPr>
          <w:sz w:val="28"/>
          <w:szCs w:val="28"/>
        </w:rPr>
        <w:t xml:space="preserve"> </w:t>
      </w:r>
      <w:r w:rsidR="004B59F6">
        <w:rPr>
          <w:sz w:val="28"/>
          <w:szCs w:val="28"/>
        </w:rPr>
        <w:t xml:space="preserve">using a </w:t>
      </w:r>
      <w:r w:rsidR="00146CFC">
        <w:rPr>
          <w:sz w:val="28"/>
          <w:szCs w:val="28"/>
        </w:rPr>
        <w:t xml:space="preserve">4-mirror Volk contact </w:t>
      </w:r>
      <w:proofErr w:type="spellStart"/>
      <w:r w:rsidR="004B59F6">
        <w:rPr>
          <w:sz w:val="28"/>
          <w:szCs w:val="28"/>
        </w:rPr>
        <w:t>gonio</w:t>
      </w:r>
      <w:r w:rsidR="00146CFC">
        <w:rPr>
          <w:sz w:val="28"/>
          <w:szCs w:val="28"/>
        </w:rPr>
        <w:t>lens</w:t>
      </w:r>
      <w:proofErr w:type="spellEnd"/>
      <w:r w:rsidR="00146CFC">
        <w:rPr>
          <w:sz w:val="28"/>
          <w:szCs w:val="28"/>
        </w:rPr>
        <w:t>.</w:t>
      </w:r>
      <w:r w:rsidR="00D16E70">
        <w:rPr>
          <w:sz w:val="28"/>
          <w:szCs w:val="28"/>
        </w:rPr>
        <w:t xml:space="preserve"> </w:t>
      </w:r>
      <w:r w:rsidR="004404DB">
        <w:rPr>
          <w:sz w:val="28"/>
          <w:szCs w:val="28"/>
        </w:rPr>
        <w:t>We did</w:t>
      </w:r>
      <w:r w:rsidR="00146CFC">
        <w:rPr>
          <w:sz w:val="28"/>
          <w:szCs w:val="28"/>
        </w:rPr>
        <w:t xml:space="preserve"> a 24-2 Humphrey visual field test</w:t>
      </w:r>
      <w:r w:rsidR="002518B7">
        <w:rPr>
          <w:sz w:val="28"/>
          <w:szCs w:val="28"/>
        </w:rPr>
        <w:t xml:space="preserve"> (Zeiss Medical Technology, United States)</w:t>
      </w:r>
      <w:r w:rsidR="00146CFC">
        <w:rPr>
          <w:sz w:val="28"/>
          <w:szCs w:val="28"/>
        </w:rPr>
        <w:t xml:space="preserve"> </w:t>
      </w:r>
      <w:r w:rsidR="004404DB">
        <w:rPr>
          <w:sz w:val="28"/>
          <w:szCs w:val="28"/>
        </w:rPr>
        <w:t>for all patients. In addition, an</w:t>
      </w:r>
      <w:r w:rsidR="00146CFC">
        <w:rPr>
          <w:sz w:val="28"/>
          <w:szCs w:val="28"/>
        </w:rPr>
        <w:t xml:space="preserve"> Optical Coherence Tomography (OCT) for the </w:t>
      </w:r>
      <w:r w:rsidR="00146CFC">
        <w:rPr>
          <w:sz w:val="28"/>
          <w:szCs w:val="28"/>
        </w:rPr>
        <w:lastRenderedPageBreak/>
        <w:t xml:space="preserve">optic </w:t>
      </w:r>
      <w:r w:rsidR="00613C30">
        <w:rPr>
          <w:sz w:val="28"/>
          <w:szCs w:val="28"/>
        </w:rPr>
        <w:t>nerve head</w:t>
      </w:r>
      <w:r w:rsidR="002518B7">
        <w:rPr>
          <w:sz w:val="28"/>
          <w:szCs w:val="28"/>
        </w:rPr>
        <w:t xml:space="preserve">, </w:t>
      </w:r>
      <w:r w:rsidR="00613C30">
        <w:rPr>
          <w:sz w:val="28"/>
          <w:szCs w:val="28"/>
        </w:rPr>
        <w:t xml:space="preserve">peri-papillary </w:t>
      </w:r>
      <w:r w:rsidR="002518B7">
        <w:rPr>
          <w:sz w:val="28"/>
          <w:szCs w:val="28"/>
        </w:rPr>
        <w:t xml:space="preserve">Retinal Nerve Fiber Layer (RNFL), and </w:t>
      </w:r>
      <w:r w:rsidR="00613C30">
        <w:rPr>
          <w:sz w:val="28"/>
          <w:szCs w:val="28"/>
        </w:rPr>
        <w:t xml:space="preserve">the </w:t>
      </w:r>
      <w:r w:rsidR="002518B7">
        <w:rPr>
          <w:sz w:val="28"/>
          <w:szCs w:val="28"/>
        </w:rPr>
        <w:t>Ganglion Cell Complex (GCC) (</w:t>
      </w:r>
      <w:r w:rsidR="001C7DF7" w:rsidRPr="001C7DF7">
        <w:rPr>
          <w:sz w:val="28"/>
          <w:szCs w:val="28"/>
          <w:lang w:val="en-EG"/>
        </w:rPr>
        <w:t>Optovue</w:t>
      </w:r>
      <w:r w:rsidR="001C7DF7">
        <w:rPr>
          <w:sz w:val="28"/>
          <w:szCs w:val="28"/>
        </w:rPr>
        <w:t xml:space="preserve"> </w:t>
      </w:r>
      <w:r w:rsidR="002518B7">
        <w:rPr>
          <w:sz w:val="28"/>
          <w:szCs w:val="28"/>
        </w:rPr>
        <w:t xml:space="preserve">SD-OCT, </w:t>
      </w:r>
      <w:r w:rsidR="001C7DF7" w:rsidRPr="001C7DF7">
        <w:rPr>
          <w:sz w:val="28"/>
          <w:szCs w:val="28"/>
          <w:lang w:val="en-EG"/>
        </w:rPr>
        <w:t>optovue avanti</w:t>
      </w:r>
      <w:r w:rsidR="00424734">
        <w:rPr>
          <w:sz w:val="28"/>
          <w:szCs w:val="28"/>
        </w:rPr>
        <w:t xml:space="preserve">, </w:t>
      </w:r>
      <w:r w:rsidR="001C7DF7">
        <w:rPr>
          <w:sz w:val="28"/>
          <w:szCs w:val="28"/>
        </w:rPr>
        <w:t>France</w:t>
      </w:r>
      <w:r w:rsidR="002518B7">
        <w:rPr>
          <w:sz w:val="28"/>
          <w:szCs w:val="28"/>
        </w:rPr>
        <w:t>)</w:t>
      </w:r>
      <w:r w:rsidR="00146CFC">
        <w:rPr>
          <w:sz w:val="28"/>
          <w:szCs w:val="28"/>
        </w:rPr>
        <w:t xml:space="preserve"> </w:t>
      </w:r>
      <w:r w:rsidR="004404DB">
        <w:rPr>
          <w:sz w:val="28"/>
          <w:szCs w:val="28"/>
        </w:rPr>
        <w:t xml:space="preserve">was done </w:t>
      </w:r>
      <w:r w:rsidR="00146CFC">
        <w:rPr>
          <w:sz w:val="28"/>
          <w:szCs w:val="28"/>
        </w:rPr>
        <w:t>when</w:t>
      </w:r>
      <w:r w:rsidR="003559D8">
        <w:rPr>
          <w:sz w:val="28"/>
          <w:szCs w:val="28"/>
        </w:rPr>
        <w:t>ever</w:t>
      </w:r>
      <w:r w:rsidR="00146CFC">
        <w:rPr>
          <w:sz w:val="28"/>
          <w:szCs w:val="28"/>
        </w:rPr>
        <w:t xml:space="preserve"> </w:t>
      </w:r>
      <w:r w:rsidR="004404DB">
        <w:rPr>
          <w:sz w:val="28"/>
          <w:szCs w:val="28"/>
        </w:rPr>
        <w:t xml:space="preserve">we could achieve a good </w:t>
      </w:r>
      <w:r w:rsidR="00146CFC">
        <w:rPr>
          <w:sz w:val="28"/>
          <w:szCs w:val="28"/>
        </w:rPr>
        <w:t>fundus view.</w:t>
      </w:r>
      <w:r w:rsidR="00D16E70">
        <w:rPr>
          <w:sz w:val="28"/>
          <w:szCs w:val="28"/>
        </w:rPr>
        <w:t xml:space="preserve"> </w:t>
      </w:r>
      <w:r w:rsidR="004B59F6">
        <w:rPr>
          <w:sz w:val="28"/>
          <w:szCs w:val="28"/>
        </w:rPr>
        <w:t>We recorded t</w:t>
      </w:r>
      <w:r w:rsidR="000216A3">
        <w:rPr>
          <w:sz w:val="28"/>
          <w:szCs w:val="28"/>
        </w:rPr>
        <w:t xml:space="preserve">he </w:t>
      </w:r>
      <w:r w:rsidR="000667C1">
        <w:rPr>
          <w:sz w:val="28"/>
          <w:szCs w:val="28"/>
        </w:rPr>
        <w:t>maximum</w:t>
      </w:r>
      <w:r w:rsidR="000216A3">
        <w:rPr>
          <w:sz w:val="28"/>
          <w:szCs w:val="28"/>
        </w:rPr>
        <w:t xml:space="preserve"> IOP, the</w:t>
      </w:r>
      <w:r w:rsidR="00D708D4">
        <w:rPr>
          <w:sz w:val="28"/>
          <w:szCs w:val="28"/>
        </w:rPr>
        <w:t xml:space="preserve"> </w:t>
      </w:r>
      <w:r w:rsidR="000667C1">
        <w:rPr>
          <w:sz w:val="28"/>
          <w:szCs w:val="28"/>
        </w:rPr>
        <w:t>presenting IOP</w:t>
      </w:r>
      <w:r w:rsidR="00D708D4">
        <w:rPr>
          <w:sz w:val="28"/>
          <w:szCs w:val="28"/>
        </w:rPr>
        <w:t>,</w:t>
      </w:r>
      <w:r w:rsidR="000667C1">
        <w:rPr>
          <w:sz w:val="28"/>
          <w:szCs w:val="28"/>
        </w:rPr>
        <w:t xml:space="preserve"> </w:t>
      </w:r>
      <w:r w:rsidR="004404DB">
        <w:rPr>
          <w:sz w:val="28"/>
          <w:szCs w:val="28"/>
        </w:rPr>
        <w:t>the preoperative medicated IOP</w:t>
      </w:r>
      <w:r w:rsidR="00DE372D">
        <w:rPr>
          <w:sz w:val="28"/>
          <w:szCs w:val="28"/>
        </w:rPr>
        <w:t>,</w:t>
      </w:r>
      <w:r w:rsidR="004404DB">
        <w:rPr>
          <w:sz w:val="28"/>
          <w:szCs w:val="28"/>
        </w:rPr>
        <w:t xml:space="preserve"> </w:t>
      </w:r>
      <w:r w:rsidR="00224EE6">
        <w:rPr>
          <w:sz w:val="28"/>
          <w:szCs w:val="28"/>
        </w:rPr>
        <w:t>and</w:t>
      </w:r>
      <w:r w:rsidR="000667C1">
        <w:rPr>
          <w:sz w:val="28"/>
          <w:szCs w:val="28"/>
        </w:rPr>
        <w:t xml:space="preserve"> the number of IOP lowering </w:t>
      </w:r>
      <w:r w:rsidR="00E325A8">
        <w:rPr>
          <w:sz w:val="28"/>
          <w:szCs w:val="28"/>
        </w:rPr>
        <w:t>medications</w:t>
      </w:r>
      <w:r w:rsidR="000667C1">
        <w:rPr>
          <w:sz w:val="28"/>
          <w:szCs w:val="28"/>
        </w:rPr>
        <w:t xml:space="preserve"> for each patient</w:t>
      </w:r>
      <w:r w:rsidR="00696B53">
        <w:rPr>
          <w:sz w:val="28"/>
          <w:szCs w:val="28"/>
        </w:rPr>
        <w:t>.</w:t>
      </w:r>
      <w:r w:rsidR="00D16E70">
        <w:rPr>
          <w:sz w:val="28"/>
          <w:szCs w:val="28"/>
        </w:rPr>
        <w:t xml:space="preserve"> </w:t>
      </w:r>
      <w:r w:rsidR="0003130E">
        <w:rPr>
          <w:sz w:val="28"/>
          <w:szCs w:val="28"/>
        </w:rPr>
        <w:t>We exclude</w:t>
      </w:r>
      <w:r w:rsidR="00696B53">
        <w:rPr>
          <w:sz w:val="28"/>
          <w:szCs w:val="28"/>
        </w:rPr>
        <w:t>d</w:t>
      </w:r>
      <w:r w:rsidR="0003130E">
        <w:rPr>
          <w:sz w:val="28"/>
          <w:szCs w:val="28"/>
        </w:rPr>
        <w:t xml:space="preserve"> patients </w:t>
      </w:r>
      <w:r w:rsidR="004A0743">
        <w:rPr>
          <w:sz w:val="28"/>
          <w:szCs w:val="28"/>
        </w:rPr>
        <w:t>aged</w:t>
      </w:r>
      <w:r w:rsidR="0081052E">
        <w:rPr>
          <w:sz w:val="28"/>
          <w:szCs w:val="28"/>
        </w:rPr>
        <w:t xml:space="preserve"> 18 years </w:t>
      </w:r>
      <w:r w:rsidR="004A0743">
        <w:rPr>
          <w:sz w:val="28"/>
          <w:szCs w:val="28"/>
        </w:rPr>
        <w:t>or less</w:t>
      </w:r>
      <w:r w:rsidR="00CF5A1C">
        <w:rPr>
          <w:sz w:val="28"/>
          <w:szCs w:val="28"/>
        </w:rPr>
        <w:t>. We also excluded</w:t>
      </w:r>
      <w:r w:rsidR="0081052E">
        <w:rPr>
          <w:sz w:val="28"/>
          <w:szCs w:val="28"/>
        </w:rPr>
        <w:t xml:space="preserve"> </w:t>
      </w:r>
      <w:r w:rsidR="00CF5A1C">
        <w:rPr>
          <w:sz w:val="28"/>
          <w:szCs w:val="28"/>
        </w:rPr>
        <w:t>patients</w:t>
      </w:r>
      <w:r w:rsidR="0081052E">
        <w:rPr>
          <w:sz w:val="28"/>
          <w:szCs w:val="28"/>
        </w:rPr>
        <w:t xml:space="preserve"> </w:t>
      </w:r>
      <w:r w:rsidR="00CD2708">
        <w:rPr>
          <w:sz w:val="28"/>
          <w:szCs w:val="28"/>
        </w:rPr>
        <w:t>with</w:t>
      </w:r>
      <w:r w:rsidR="0081052E">
        <w:rPr>
          <w:sz w:val="28"/>
          <w:szCs w:val="28"/>
        </w:rPr>
        <w:t xml:space="preserve"> other systemic</w:t>
      </w:r>
      <w:r w:rsidR="00CD2708">
        <w:rPr>
          <w:sz w:val="28"/>
          <w:szCs w:val="28"/>
        </w:rPr>
        <w:t xml:space="preserve"> or ocular</w:t>
      </w:r>
      <w:r w:rsidR="0081052E">
        <w:rPr>
          <w:sz w:val="28"/>
          <w:szCs w:val="28"/>
        </w:rPr>
        <w:t xml:space="preserve"> diseases </w:t>
      </w:r>
      <w:r w:rsidR="00C506B0">
        <w:rPr>
          <w:sz w:val="28"/>
          <w:szCs w:val="28"/>
        </w:rPr>
        <w:t xml:space="preserve">or had a previous </w:t>
      </w:r>
      <w:r w:rsidR="00CD2708">
        <w:rPr>
          <w:sz w:val="28"/>
          <w:szCs w:val="28"/>
        </w:rPr>
        <w:t>eye</w:t>
      </w:r>
      <w:r w:rsidR="00C506B0">
        <w:rPr>
          <w:sz w:val="28"/>
          <w:szCs w:val="28"/>
        </w:rPr>
        <w:t xml:space="preserve"> surgery </w:t>
      </w:r>
      <w:r w:rsidR="0081052E">
        <w:rPr>
          <w:sz w:val="28"/>
          <w:szCs w:val="28"/>
        </w:rPr>
        <w:t xml:space="preserve">that might </w:t>
      </w:r>
      <w:r w:rsidR="003F3C25">
        <w:rPr>
          <w:sz w:val="28"/>
          <w:szCs w:val="28"/>
        </w:rPr>
        <w:t>influence</w:t>
      </w:r>
      <w:r w:rsidR="0081052E">
        <w:rPr>
          <w:sz w:val="28"/>
          <w:szCs w:val="28"/>
        </w:rPr>
        <w:t xml:space="preserve"> the IOP, </w:t>
      </w:r>
      <w:r w:rsidR="00C506B0">
        <w:rPr>
          <w:sz w:val="28"/>
          <w:szCs w:val="28"/>
        </w:rPr>
        <w:t xml:space="preserve">and </w:t>
      </w:r>
      <w:r w:rsidR="0081052E">
        <w:rPr>
          <w:sz w:val="28"/>
          <w:szCs w:val="28"/>
        </w:rPr>
        <w:t xml:space="preserve">patients </w:t>
      </w:r>
      <w:r w:rsidR="0003130E">
        <w:rPr>
          <w:sz w:val="28"/>
          <w:szCs w:val="28"/>
        </w:rPr>
        <w:t xml:space="preserve">with </w:t>
      </w:r>
      <w:r w:rsidR="00CD2708">
        <w:rPr>
          <w:sz w:val="28"/>
          <w:szCs w:val="28"/>
        </w:rPr>
        <w:t>secondary open angle or closed angle</w:t>
      </w:r>
      <w:r w:rsidR="0003130E">
        <w:rPr>
          <w:sz w:val="28"/>
          <w:szCs w:val="28"/>
        </w:rPr>
        <w:t xml:space="preserve"> glaucoma.</w:t>
      </w:r>
      <w:r w:rsidR="00D16E70">
        <w:rPr>
          <w:sz w:val="28"/>
          <w:szCs w:val="28"/>
        </w:rPr>
        <w:t xml:space="preserve"> </w:t>
      </w:r>
      <w:r w:rsidR="00CF5A1C">
        <w:rPr>
          <w:sz w:val="28"/>
          <w:szCs w:val="28"/>
        </w:rPr>
        <w:t>In addition, we</w:t>
      </w:r>
      <w:r w:rsidR="0081052E">
        <w:rPr>
          <w:sz w:val="28"/>
          <w:szCs w:val="28"/>
        </w:rPr>
        <w:t xml:space="preserve"> </w:t>
      </w:r>
      <w:r w:rsidR="003B46FB">
        <w:rPr>
          <w:sz w:val="28"/>
          <w:szCs w:val="28"/>
        </w:rPr>
        <w:t>exclude</w:t>
      </w:r>
      <w:r w:rsidR="00CF0412">
        <w:rPr>
          <w:sz w:val="28"/>
          <w:szCs w:val="28"/>
        </w:rPr>
        <w:t>d</w:t>
      </w:r>
      <w:r w:rsidR="0081052E">
        <w:rPr>
          <w:sz w:val="28"/>
          <w:szCs w:val="28"/>
        </w:rPr>
        <w:t xml:space="preserve"> </w:t>
      </w:r>
      <w:r w:rsidR="0068185E">
        <w:rPr>
          <w:sz w:val="28"/>
          <w:szCs w:val="28"/>
        </w:rPr>
        <w:t>patients</w:t>
      </w:r>
      <w:r w:rsidR="0081052E">
        <w:rPr>
          <w:sz w:val="28"/>
          <w:szCs w:val="28"/>
        </w:rPr>
        <w:t xml:space="preserve"> who </w:t>
      </w:r>
      <w:r w:rsidR="00CD2708">
        <w:rPr>
          <w:sz w:val="28"/>
          <w:szCs w:val="28"/>
        </w:rPr>
        <w:t>did not</w:t>
      </w:r>
      <w:r w:rsidR="0081052E">
        <w:rPr>
          <w:sz w:val="28"/>
          <w:szCs w:val="28"/>
        </w:rPr>
        <w:t xml:space="preserve"> complete the 24-month </w:t>
      </w:r>
      <w:r w:rsidR="00224EE6">
        <w:rPr>
          <w:sz w:val="28"/>
          <w:szCs w:val="28"/>
        </w:rPr>
        <w:t>follow-up</w:t>
      </w:r>
      <w:r w:rsidR="0081052E">
        <w:rPr>
          <w:sz w:val="28"/>
          <w:szCs w:val="28"/>
        </w:rPr>
        <w:t xml:space="preserve"> period</w:t>
      </w:r>
      <w:r w:rsidR="00AB3930">
        <w:rPr>
          <w:sz w:val="28"/>
          <w:szCs w:val="28"/>
        </w:rPr>
        <w:t>.</w:t>
      </w:r>
      <w:r w:rsidR="00D16E70">
        <w:rPr>
          <w:sz w:val="28"/>
          <w:szCs w:val="28"/>
        </w:rPr>
        <w:t xml:space="preserve"> </w:t>
      </w:r>
      <w:r w:rsidR="00EC2F14">
        <w:rPr>
          <w:sz w:val="28"/>
          <w:szCs w:val="28"/>
        </w:rPr>
        <w:t xml:space="preserve">All patients signed </w:t>
      </w:r>
      <w:r w:rsidR="00CD2708">
        <w:rPr>
          <w:sz w:val="28"/>
          <w:szCs w:val="28"/>
        </w:rPr>
        <w:t xml:space="preserve">a </w:t>
      </w:r>
      <w:r w:rsidR="00504562">
        <w:rPr>
          <w:sz w:val="28"/>
          <w:szCs w:val="28"/>
        </w:rPr>
        <w:t>written informed consent</w:t>
      </w:r>
      <w:r w:rsidR="00D708D4">
        <w:rPr>
          <w:sz w:val="28"/>
          <w:szCs w:val="28"/>
        </w:rPr>
        <w:t>,</w:t>
      </w:r>
      <w:r w:rsidR="00504562">
        <w:rPr>
          <w:sz w:val="28"/>
          <w:szCs w:val="28"/>
        </w:rPr>
        <w:t xml:space="preserve"> </w:t>
      </w:r>
      <w:r w:rsidR="00C20C19">
        <w:rPr>
          <w:sz w:val="28"/>
          <w:szCs w:val="28"/>
        </w:rPr>
        <w:t>involving</w:t>
      </w:r>
      <w:r w:rsidR="00504562">
        <w:rPr>
          <w:sz w:val="28"/>
          <w:szCs w:val="28"/>
        </w:rPr>
        <w:t xml:space="preserve"> the </w:t>
      </w:r>
      <w:r w:rsidR="00CD2708">
        <w:rPr>
          <w:sz w:val="28"/>
          <w:szCs w:val="28"/>
        </w:rPr>
        <w:t xml:space="preserve">detailed </w:t>
      </w:r>
      <w:r w:rsidR="00C20C19">
        <w:rPr>
          <w:sz w:val="28"/>
          <w:szCs w:val="28"/>
        </w:rPr>
        <w:t xml:space="preserve">surgical </w:t>
      </w:r>
      <w:r w:rsidR="00CD2708">
        <w:rPr>
          <w:sz w:val="28"/>
          <w:szCs w:val="28"/>
        </w:rPr>
        <w:t xml:space="preserve">steps, </w:t>
      </w:r>
      <w:r w:rsidR="00504562">
        <w:rPr>
          <w:sz w:val="28"/>
          <w:szCs w:val="28"/>
        </w:rPr>
        <w:t>aim and potential complications</w:t>
      </w:r>
      <w:r w:rsidR="00EC2F14">
        <w:rPr>
          <w:sz w:val="28"/>
          <w:szCs w:val="28"/>
        </w:rPr>
        <w:t xml:space="preserve"> </w:t>
      </w:r>
      <w:r w:rsidR="00504562">
        <w:rPr>
          <w:sz w:val="28"/>
          <w:szCs w:val="28"/>
        </w:rPr>
        <w:t xml:space="preserve">before </w:t>
      </w:r>
      <w:r w:rsidR="00CD2708">
        <w:rPr>
          <w:sz w:val="28"/>
          <w:szCs w:val="28"/>
        </w:rPr>
        <w:t xml:space="preserve">undergoing </w:t>
      </w:r>
      <w:r w:rsidR="00504562">
        <w:rPr>
          <w:sz w:val="28"/>
          <w:szCs w:val="28"/>
        </w:rPr>
        <w:t>surgery.</w:t>
      </w:r>
    </w:p>
    <w:p w14:paraId="0E0A79CC" w14:textId="69D5D2FD" w:rsidR="00C11484" w:rsidRPr="00C11484" w:rsidRDefault="00E4335F" w:rsidP="00B552B8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We further divided p</w:t>
      </w:r>
      <w:r w:rsidR="00AB3930">
        <w:rPr>
          <w:sz w:val="28"/>
          <w:szCs w:val="28"/>
        </w:rPr>
        <w:t xml:space="preserve">atients </w:t>
      </w:r>
      <w:r w:rsidR="003B46FB">
        <w:rPr>
          <w:sz w:val="28"/>
          <w:szCs w:val="28"/>
        </w:rPr>
        <w:t>into</w:t>
      </w:r>
      <w:r w:rsidR="00AB3930">
        <w:rPr>
          <w:sz w:val="28"/>
          <w:szCs w:val="28"/>
        </w:rPr>
        <w:t xml:space="preserve"> two groups; Group (P</w:t>
      </w:r>
      <w:r w:rsidR="00952C4C">
        <w:rPr>
          <w:sz w:val="28"/>
          <w:szCs w:val="28"/>
        </w:rPr>
        <w:t>h</w:t>
      </w:r>
      <w:r w:rsidR="00AB3930">
        <w:rPr>
          <w:sz w:val="28"/>
          <w:szCs w:val="28"/>
        </w:rPr>
        <w:t>)</w:t>
      </w:r>
      <w:r w:rsidR="003B46FB">
        <w:rPr>
          <w:sz w:val="28"/>
          <w:szCs w:val="28"/>
        </w:rPr>
        <w:t>,</w:t>
      </w:r>
      <w:r w:rsidR="00AB3930">
        <w:rPr>
          <w:sz w:val="28"/>
          <w:szCs w:val="28"/>
        </w:rPr>
        <w:t xml:space="preserve"> </w:t>
      </w:r>
      <w:r>
        <w:rPr>
          <w:sz w:val="28"/>
          <w:szCs w:val="28"/>
        </w:rPr>
        <w:t>who</w:t>
      </w:r>
      <w:r w:rsidR="00AB3930">
        <w:rPr>
          <w:sz w:val="28"/>
          <w:szCs w:val="28"/>
        </w:rPr>
        <w:t xml:space="preserve"> </w:t>
      </w:r>
      <w:r w:rsidR="00504562">
        <w:rPr>
          <w:sz w:val="28"/>
          <w:szCs w:val="28"/>
        </w:rPr>
        <w:t>had</w:t>
      </w:r>
      <w:r w:rsidR="00AB3930">
        <w:rPr>
          <w:sz w:val="28"/>
          <w:szCs w:val="28"/>
        </w:rPr>
        <w:t xml:space="preserve"> </w:t>
      </w:r>
      <w:proofErr w:type="spellStart"/>
      <w:r w:rsidR="00AB3930">
        <w:rPr>
          <w:sz w:val="28"/>
          <w:szCs w:val="28"/>
        </w:rPr>
        <w:t>phaco</w:t>
      </w:r>
      <w:proofErr w:type="spellEnd"/>
      <w:r w:rsidR="003B46FB">
        <w:rPr>
          <w:sz w:val="28"/>
          <w:szCs w:val="28"/>
        </w:rPr>
        <w:t>,</w:t>
      </w:r>
      <w:r w:rsidR="00AB3930">
        <w:rPr>
          <w:sz w:val="28"/>
          <w:szCs w:val="28"/>
        </w:rPr>
        <w:t xml:space="preserve"> and Group (</w:t>
      </w:r>
      <w:proofErr w:type="spellStart"/>
      <w:r w:rsidR="00AB3930">
        <w:rPr>
          <w:sz w:val="28"/>
          <w:szCs w:val="28"/>
        </w:rPr>
        <w:t>P</w:t>
      </w:r>
      <w:r w:rsidR="00952C4C">
        <w:rPr>
          <w:sz w:val="28"/>
          <w:szCs w:val="28"/>
        </w:rPr>
        <w:t>h</w:t>
      </w:r>
      <w:r w:rsidR="00AB3930">
        <w:rPr>
          <w:sz w:val="28"/>
          <w:szCs w:val="28"/>
        </w:rPr>
        <w:t>G</w:t>
      </w:r>
      <w:proofErr w:type="spellEnd"/>
      <w:r w:rsidR="00AB3930">
        <w:rPr>
          <w:sz w:val="28"/>
          <w:szCs w:val="28"/>
        </w:rPr>
        <w:t>)</w:t>
      </w:r>
      <w:r w:rsidR="003B46FB">
        <w:rPr>
          <w:sz w:val="28"/>
          <w:szCs w:val="28"/>
        </w:rPr>
        <w:t>,</w:t>
      </w:r>
      <w:r w:rsidR="00AB3930">
        <w:rPr>
          <w:sz w:val="28"/>
          <w:szCs w:val="28"/>
        </w:rPr>
        <w:t xml:space="preserve"> </w:t>
      </w:r>
      <w:r>
        <w:rPr>
          <w:sz w:val="28"/>
          <w:szCs w:val="28"/>
        </w:rPr>
        <w:t>who</w:t>
      </w:r>
      <w:r w:rsidR="001F3266">
        <w:rPr>
          <w:sz w:val="28"/>
          <w:szCs w:val="28"/>
        </w:rPr>
        <w:t xml:space="preserve"> </w:t>
      </w:r>
      <w:r w:rsidR="00504562">
        <w:rPr>
          <w:sz w:val="28"/>
          <w:szCs w:val="28"/>
        </w:rPr>
        <w:t>had</w:t>
      </w:r>
      <w:r w:rsidR="001F3266">
        <w:rPr>
          <w:sz w:val="28"/>
          <w:szCs w:val="28"/>
        </w:rPr>
        <w:t xml:space="preserve"> combined </w:t>
      </w:r>
      <w:proofErr w:type="spellStart"/>
      <w:r w:rsidR="001F3266">
        <w:rPr>
          <w:sz w:val="28"/>
          <w:szCs w:val="28"/>
        </w:rPr>
        <w:t>phaco</w:t>
      </w:r>
      <w:proofErr w:type="spellEnd"/>
      <w:r w:rsidR="001F3266">
        <w:rPr>
          <w:sz w:val="28"/>
          <w:szCs w:val="28"/>
        </w:rPr>
        <w:t>-goniotomy.</w:t>
      </w:r>
      <w:r w:rsidR="00D16E70">
        <w:rPr>
          <w:sz w:val="28"/>
          <w:szCs w:val="28"/>
        </w:rPr>
        <w:t xml:space="preserve"> </w:t>
      </w:r>
      <w:r w:rsidR="008E794A">
        <w:rPr>
          <w:sz w:val="28"/>
          <w:szCs w:val="28"/>
        </w:rPr>
        <w:t xml:space="preserve">Based on glaucoma damage, </w:t>
      </w:r>
      <w:r>
        <w:rPr>
          <w:sz w:val="28"/>
          <w:szCs w:val="28"/>
        </w:rPr>
        <w:t>patients were</w:t>
      </w:r>
      <w:r w:rsidR="00056F5F">
        <w:rPr>
          <w:sz w:val="28"/>
          <w:szCs w:val="28"/>
        </w:rPr>
        <w:t xml:space="preserve"> </w:t>
      </w:r>
      <w:r w:rsidR="00C11484">
        <w:rPr>
          <w:sz w:val="28"/>
          <w:szCs w:val="28"/>
        </w:rPr>
        <w:t xml:space="preserve">further </w:t>
      </w:r>
      <w:r w:rsidR="00056F5F">
        <w:rPr>
          <w:sz w:val="28"/>
          <w:szCs w:val="28"/>
        </w:rPr>
        <w:t xml:space="preserve">divided into moderate and severe glaucoma </w:t>
      </w:r>
      <w:r>
        <w:rPr>
          <w:sz w:val="28"/>
          <w:szCs w:val="28"/>
        </w:rPr>
        <w:t>groups</w:t>
      </w:r>
      <w:r w:rsidR="00056F5F">
        <w:rPr>
          <w:sz w:val="28"/>
          <w:szCs w:val="28"/>
        </w:rPr>
        <w:t>.</w:t>
      </w:r>
      <w:r w:rsidR="00D16E70">
        <w:rPr>
          <w:sz w:val="28"/>
          <w:szCs w:val="28"/>
        </w:rPr>
        <w:t xml:space="preserve"> </w:t>
      </w:r>
      <w:r w:rsidR="00056F5F">
        <w:rPr>
          <w:sz w:val="28"/>
          <w:szCs w:val="28"/>
        </w:rPr>
        <w:t xml:space="preserve">We </w:t>
      </w:r>
      <w:r w:rsidR="001C1D9B">
        <w:rPr>
          <w:sz w:val="28"/>
          <w:szCs w:val="28"/>
        </w:rPr>
        <w:t>used</w:t>
      </w:r>
      <w:r w:rsidR="00C11484">
        <w:rPr>
          <w:sz w:val="28"/>
          <w:szCs w:val="28"/>
        </w:rPr>
        <w:t xml:space="preserve"> the American Glaucoma Society classification of glaucoma severity</w:t>
      </w:r>
      <w:r w:rsidR="00452E25">
        <w:rPr>
          <w:sz w:val="28"/>
          <w:szCs w:val="28"/>
          <w:vertAlign w:val="superscript"/>
        </w:rPr>
        <w:t xml:space="preserve"> 14</w:t>
      </w:r>
      <w:r w:rsidR="00D708D4">
        <w:rPr>
          <w:sz w:val="28"/>
          <w:szCs w:val="28"/>
          <w:vertAlign w:val="superscript"/>
        </w:rPr>
        <w:t>,</w:t>
      </w:r>
      <w:r w:rsidR="00C11484">
        <w:rPr>
          <w:sz w:val="28"/>
          <w:szCs w:val="28"/>
        </w:rPr>
        <w:t xml:space="preserve"> where</w:t>
      </w:r>
      <w:r w:rsidR="001C1D9B">
        <w:rPr>
          <w:sz w:val="28"/>
          <w:szCs w:val="28"/>
        </w:rPr>
        <w:t xml:space="preserve"> moderate glaucoma encompasses</w:t>
      </w:r>
      <w:r w:rsidR="00C11484">
        <w:rPr>
          <w:sz w:val="28"/>
          <w:szCs w:val="28"/>
        </w:rPr>
        <w:t xml:space="preserve"> </w:t>
      </w:r>
      <w:r w:rsidR="00C11484" w:rsidRPr="00C11484">
        <w:rPr>
          <w:sz w:val="28"/>
          <w:szCs w:val="28"/>
        </w:rPr>
        <w:t xml:space="preserve">optic nerve </w:t>
      </w:r>
      <w:r w:rsidR="003A201D">
        <w:rPr>
          <w:sz w:val="28"/>
          <w:szCs w:val="28"/>
        </w:rPr>
        <w:t>changes</w:t>
      </w:r>
      <w:r w:rsidR="00C11484" w:rsidRPr="00C11484">
        <w:rPr>
          <w:sz w:val="28"/>
          <w:szCs w:val="28"/>
        </w:rPr>
        <w:t xml:space="preserve"> consistent with glaucoma and glaucomatous visual field </w:t>
      </w:r>
      <w:r w:rsidR="003A201D">
        <w:rPr>
          <w:sz w:val="28"/>
          <w:szCs w:val="28"/>
        </w:rPr>
        <w:t>changes</w:t>
      </w:r>
      <w:r w:rsidR="00C11484" w:rsidRPr="00C11484">
        <w:rPr>
          <w:sz w:val="28"/>
          <w:szCs w:val="28"/>
        </w:rPr>
        <w:t xml:space="preserve"> in one </w:t>
      </w:r>
      <w:r w:rsidR="00564015">
        <w:rPr>
          <w:sz w:val="28"/>
          <w:szCs w:val="28"/>
        </w:rPr>
        <w:t>hemifield</w:t>
      </w:r>
      <w:r w:rsidR="00C11484" w:rsidRPr="00C11484">
        <w:rPr>
          <w:sz w:val="28"/>
          <w:szCs w:val="28"/>
        </w:rPr>
        <w:t xml:space="preserve"> and not within 5 degrees of fixation </w:t>
      </w:r>
      <w:r w:rsidR="00C11484">
        <w:rPr>
          <w:sz w:val="28"/>
          <w:szCs w:val="28"/>
        </w:rPr>
        <w:t xml:space="preserve">(Sub-groups </w:t>
      </w:r>
      <w:proofErr w:type="spellStart"/>
      <w:r w:rsidR="00C11484">
        <w:rPr>
          <w:sz w:val="28"/>
          <w:szCs w:val="28"/>
        </w:rPr>
        <w:t>P</w:t>
      </w:r>
      <w:r w:rsidR="00952C4C">
        <w:rPr>
          <w:sz w:val="28"/>
          <w:szCs w:val="28"/>
        </w:rPr>
        <w:t>h</w:t>
      </w:r>
      <w:r w:rsidR="00E70650">
        <w:rPr>
          <w:sz w:val="28"/>
          <w:szCs w:val="28"/>
        </w:rPr>
        <w:t>M</w:t>
      </w:r>
      <w:proofErr w:type="spellEnd"/>
      <w:r w:rsidR="00C11484">
        <w:rPr>
          <w:sz w:val="28"/>
          <w:szCs w:val="28"/>
        </w:rPr>
        <w:t xml:space="preserve"> and </w:t>
      </w:r>
      <w:proofErr w:type="spellStart"/>
      <w:r w:rsidR="00C11484">
        <w:rPr>
          <w:sz w:val="28"/>
          <w:szCs w:val="28"/>
        </w:rPr>
        <w:t>P</w:t>
      </w:r>
      <w:r w:rsidR="00952C4C">
        <w:rPr>
          <w:sz w:val="28"/>
          <w:szCs w:val="28"/>
        </w:rPr>
        <w:t>h</w:t>
      </w:r>
      <w:r w:rsidR="00C11484">
        <w:rPr>
          <w:sz w:val="28"/>
          <w:szCs w:val="28"/>
        </w:rPr>
        <w:t>G</w:t>
      </w:r>
      <w:r w:rsidR="00E70650">
        <w:rPr>
          <w:sz w:val="28"/>
          <w:szCs w:val="28"/>
        </w:rPr>
        <w:t>M</w:t>
      </w:r>
      <w:proofErr w:type="spellEnd"/>
      <w:r w:rsidR="00C11484">
        <w:rPr>
          <w:sz w:val="28"/>
          <w:szCs w:val="28"/>
        </w:rPr>
        <w:t>)</w:t>
      </w:r>
      <w:r w:rsidR="003A201D">
        <w:rPr>
          <w:sz w:val="28"/>
          <w:szCs w:val="28"/>
        </w:rPr>
        <w:t xml:space="preserve">, while </w:t>
      </w:r>
      <w:r w:rsidR="001C1D9B">
        <w:rPr>
          <w:sz w:val="28"/>
          <w:szCs w:val="28"/>
        </w:rPr>
        <w:t xml:space="preserve">severe glaucoma includes </w:t>
      </w:r>
      <w:r w:rsidR="00C11484" w:rsidRPr="00C11484">
        <w:rPr>
          <w:sz w:val="28"/>
          <w:szCs w:val="28"/>
        </w:rPr>
        <w:t xml:space="preserve">optic nerve </w:t>
      </w:r>
      <w:r>
        <w:rPr>
          <w:sz w:val="28"/>
          <w:szCs w:val="28"/>
        </w:rPr>
        <w:t>changes</w:t>
      </w:r>
      <w:r w:rsidR="00C11484" w:rsidRPr="00C11484">
        <w:rPr>
          <w:sz w:val="28"/>
          <w:szCs w:val="28"/>
        </w:rPr>
        <w:t xml:space="preserve"> consistent with glaucoma and glaucomatous visual field </w:t>
      </w:r>
      <w:r>
        <w:rPr>
          <w:sz w:val="28"/>
          <w:szCs w:val="28"/>
        </w:rPr>
        <w:t>defects</w:t>
      </w:r>
      <w:r w:rsidR="00C11484" w:rsidRPr="00C11484">
        <w:rPr>
          <w:sz w:val="28"/>
          <w:szCs w:val="28"/>
        </w:rPr>
        <w:t xml:space="preserve"> in both hemifields and/or loss within 5 degrees of fixation in at least one hemifield</w:t>
      </w:r>
      <w:r w:rsidR="00C11484">
        <w:rPr>
          <w:sz w:val="28"/>
          <w:szCs w:val="28"/>
        </w:rPr>
        <w:t xml:space="preserve"> (Sub-groups </w:t>
      </w:r>
      <w:proofErr w:type="spellStart"/>
      <w:r w:rsidR="00C11484">
        <w:rPr>
          <w:sz w:val="28"/>
          <w:szCs w:val="28"/>
        </w:rPr>
        <w:t>P</w:t>
      </w:r>
      <w:r w:rsidR="00952C4C">
        <w:rPr>
          <w:sz w:val="28"/>
          <w:szCs w:val="28"/>
        </w:rPr>
        <w:t>h</w:t>
      </w:r>
      <w:r w:rsidR="00C11484">
        <w:rPr>
          <w:sz w:val="28"/>
          <w:szCs w:val="28"/>
        </w:rPr>
        <w:t>s</w:t>
      </w:r>
      <w:proofErr w:type="spellEnd"/>
      <w:r w:rsidR="00C11484">
        <w:rPr>
          <w:sz w:val="28"/>
          <w:szCs w:val="28"/>
        </w:rPr>
        <w:t xml:space="preserve"> and </w:t>
      </w:r>
      <w:proofErr w:type="spellStart"/>
      <w:r w:rsidR="00C11484">
        <w:rPr>
          <w:sz w:val="28"/>
          <w:szCs w:val="28"/>
        </w:rPr>
        <w:t>P</w:t>
      </w:r>
      <w:r w:rsidR="00952C4C">
        <w:rPr>
          <w:sz w:val="28"/>
          <w:szCs w:val="28"/>
        </w:rPr>
        <w:t>h</w:t>
      </w:r>
      <w:r w:rsidR="00C11484">
        <w:rPr>
          <w:sz w:val="28"/>
          <w:szCs w:val="28"/>
        </w:rPr>
        <w:t>Gs</w:t>
      </w:r>
      <w:proofErr w:type="spellEnd"/>
      <w:r w:rsidR="00C11484">
        <w:rPr>
          <w:sz w:val="28"/>
          <w:szCs w:val="28"/>
        </w:rPr>
        <w:t xml:space="preserve">) </w:t>
      </w:r>
    </w:p>
    <w:p w14:paraId="319DBD03" w14:textId="2E02D532" w:rsidR="00E35612" w:rsidRDefault="00E35612" w:rsidP="00DA7ED3">
      <w:pPr>
        <w:spacing w:before="100" w:beforeAutospacing="1" w:after="100" w:afterAutospacing="1" w:line="480" w:lineRule="auto"/>
        <w:jc w:val="both"/>
        <w:rPr>
          <w:sz w:val="28"/>
          <w:szCs w:val="28"/>
        </w:rPr>
      </w:pPr>
    </w:p>
    <w:p w14:paraId="39E7FB92" w14:textId="77777777" w:rsidR="00E35612" w:rsidRPr="00E35612" w:rsidRDefault="00E35612" w:rsidP="00B552B8">
      <w:pPr>
        <w:spacing w:before="100" w:beforeAutospacing="1" w:after="100" w:afterAutospacing="1" w:line="480" w:lineRule="auto"/>
        <w:ind w:firstLine="567"/>
        <w:jc w:val="both"/>
        <w:rPr>
          <w:b/>
          <w:bCs/>
          <w:sz w:val="28"/>
          <w:szCs w:val="28"/>
        </w:rPr>
      </w:pPr>
      <w:r w:rsidRPr="00E35612">
        <w:rPr>
          <w:b/>
          <w:bCs/>
          <w:sz w:val="28"/>
          <w:szCs w:val="28"/>
        </w:rPr>
        <w:t>Surgical technique:</w:t>
      </w:r>
    </w:p>
    <w:p w14:paraId="34E91288" w14:textId="5C664688" w:rsidR="00476BAF" w:rsidRDefault="003A201D" w:rsidP="00E06EBC">
      <w:pPr>
        <w:spacing w:before="100" w:beforeAutospacing="1" w:after="100" w:afterAutospacing="1"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We performed all</w:t>
      </w:r>
      <w:r w:rsidR="001F3266">
        <w:rPr>
          <w:sz w:val="28"/>
          <w:szCs w:val="28"/>
        </w:rPr>
        <w:t xml:space="preserve"> surgeries under local peri-bulbar anesthesia </w:t>
      </w:r>
      <w:r w:rsidR="00D56AE6">
        <w:rPr>
          <w:sz w:val="28"/>
          <w:szCs w:val="28"/>
        </w:rPr>
        <w:t xml:space="preserve">(0.5% bupivacaine, </w:t>
      </w:r>
      <w:r>
        <w:rPr>
          <w:sz w:val="28"/>
          <w:szCs w:val="28"/>
        </w:rPr>
        <w:t xml:space="preserve">2% lidocaine, </w:t>
      </w:r>
      <w:r w:rsidR="00D56AE6">
        <w:rPr>
          <w:sz w:val="28"/>
          <w:szCs w:val="28"/>
        </w:rPr>
        <w:t>and hyaluronidase)</w:t>
      </w:r>
      <w:r w:rsidR="001F3266">
        <w:rPr>
          <w:sz w:val="28"/>
          <w:szCs w:val="28"/>
        </w:rPr>
        <w:t>.</w:t>
      </w:r>
      <w:r w:rsidR="00D16E70">
        <w:rPr>
          <w:sz w:val="28"/>
          <w:szCs w:val="28"/>
        </w:rPr>
        <w:t xml:space="preserve"> </w:t>
      </w:r>
      <w:r w:rsidR="004A0743">
        <w:rPr>
          <w:sz w:val="28"/>
          <w:szCs w:val="28"/>
        </w:rPr>
        <w:t xml:space="preserve">We </w:t>
      </w:r>
      <w:r>
        <w:rPr>
          <w:sz w:val="28"/>
          <w:szCs w:val="28"/>
        </w:rPr>
        <w:t>used</w:t>
      </w:r>
      <w:r w:rsidR="00866778">
        <w:rPr>
          <w:sz w:val="28"/>
          <w:szCs w:val="28"/>
        </w:rPr>
        <w:t xml:space="preserve"> </w:t>
      </w:r>
      <w:r w:rsidR="003B46FB">
        <w:rPr>
          <w:sz w:val="28"/>
          <w:szCs w:val="28"/>
        </w:rPr>
        <w:t xml:space="preserve">a </w:t>
      </w:r>
      <w:r w:rsidR="00866778">
        <w:rPr>
          <w:sz w:val="28"/>
          <w:szCs w:val="28"/>
        </w:rPr>
        <w:t>temporal</w:t>
      </w:r>
      <w:r>
        <w:rPr>
          <w:sz w:val="28"/>
          <w:szCs w:val="28"/>
        </w:rPr>
        <w:t>, clear corneal</w:t>
      </w:r>
      <w:r w:rsidR="00866778">
        <w:rPr>
          <w:sz w:val="28"/>
          <w:szCs w:val="28"/>
        </w:rPr>
        <w:t xml:space="preserve"> </w:t>
      </w:r>
      <w:r w:rsidR="00D56AE6">
        <w:rPr>
          <w:sz w:val="28"/>
          <w:szCs w:val="28"/>
        </w:rPr>
        <w:t>2.</w:t>
      </w:r>
      <w:r w:rsidR="0006646B">
        <w:rPr>
          <w:sz w:val="28"/>
          <w:szCs w:val="28"/>
        </w:rPr>
        <w:t>4</w:t>
      </w:r>
      <w:r w:rsidR="00D56AE6">
        <w:rPr>
          <w:sz w:val="28"/>
          <w:szCs w:val="28"/>
        </w:rPr>
        <w:t xml:space="preserve"> mm </w:t>
      </w:r>
      <w:r w:rsidR="00866778">
        <w:rPr>
          <w:sz w:val="28"/>
          <w:szCs w:val="28"/>
        </w:rPr>
        <w:t xml:space="preserve">incision, </w:t>
      </w:r>
      <w:r>
        <w:rPr>
          <w:sz w:val="28"/>
          <w:szCs w:val="28"/>
        </w:rPr>
        <w:t xml:space="preserve">then we filled the anterior chamber </w:t>
      </w:r>
      <w:r w:rsidR="005A3F49">
        <w:rPr>
          <w:sz w:val="28"/>
          <w:szCs w:val="28"/>
        </w:rPr>
        <w:t>with Sodium</w:t>
      </w:r>
      <w:r w:rsidR="00866778">
        <w:rPr>
          <w:sz w:val="28"/>
          <w:szCs w:val="28"/>
        </w:rPr>
        <w:t xml:space="preserve"> Hyaluronate (</w:t>
      </w:r>
      <w:proofErr w:type="spellStart"/>
      <w:r w:rsidR="00C96C45">
        <w:rPr>
          <w:sz w:val="28"/>
          <w:szCs w:val="28"/>
        </w:rPr>
        <w:t>iOvisc</w:t>
      </w:r>
      <w:proofErr w:type="spellEnd"/>
      <w:r w:rsidR="00866778">
        <w:rPr>
          <w:sz w:val="28"/>
          <w:szCs w:val="28"/>
        </w:rPr>
        <w:t xml:space="preserve">, </w:t>
      </w:r>
      <w:proofErr w:type="spellStart"/>
      <w:r w:rsidR="00C96C45">
        <w:rPr>
          <w:sz w:val="28"/>
          <w:szCs w:val="28"/>
        </w:rPr>
        <w:t>i</w:t>
      </w:r>
      <w:proofErr w:type="spellEnd"/>
      <w:r w:rsidR="00C96C45">
        <w:rPr>
          <w:sz w:val="28"/>
          <w:szCs w:val="28"/>
        </w:rPr>
        <w:t>-Medical</w:t>
      </w:r>
      <w:r w:rsidR="00866778">
        <w:rPr>
          <w:sz w:val="28"/>
          <w:szCs w:val="28"/>
        </w:rPr>
        <w:t xml:space="preserve">, </w:t>
      </w:r>
      <w:r w:rsidR="00C96C45">
        <w:rPr>
          <w:sz w:val="28"/>
          <w:szCs w:val="28"/>
        </w:rPr>
        <w:t>Germany</w:t>
      </w:r>
      <w:r w:rsidR="00866778">
        <w:rPr>
          <w:sz w:val="28"/>
          <w:szCs w:val="28"/>
        </w:rPr>
        <w:t xml:space="preserve">), </w:t>
      </w:r>
      <w:r w:rsidR="00D56AE6">
        <w:rPr>
          <w:sz w:val="28"/>
          <w:szCs w:val="28"/>
        </w:rPr>
        <w:t>phacoemulsification</w:t>
      </w:r>
      <w:r>
        <w:rPr>
          <w:sz w:val="28"/>
          <w:szCs w:val="28"/>
        </w:rPr>
        <w:t xml:space="preserve"> </w:t>
      </w:r>
      <w:r w:rsidR="00B020F5">
        <w:rPr>
          <w:sz w:val="28"/>
          <w:szCs w:val="28"/>
        </w:rPr>
        <w:t>completed,</w:t>
      </w:r>
      <w:r w:rsidR="00D56AE6">
        <w:rPr>
          <w:sz w:val="28"/>
          <w:szCs w:val="28"/>
        </w:rPr>
        <w:t xml:space="preserve"> </w:t>
      </w:r>
      <w:r w:rsidR="00866778">
        <w:rPr>
          <w:sz w:val="28"/>
          <w:szCs w:val="28"/>
        </w:rPr>
        <w:t xml:space="preserve">and a </w:t>
      </w:r>
      <w:r w:rsidR="003F3C25">
        <w:rPr>
          <w:sz w:val="28"/>
          <w:szCs w:val="28"/>
        </w:rPr>
        <w:t>hydrophobic acrylic</w:t>
      </w:r>
      <w:r w:rsidR="00D56AE6">
        <w:rPr>
          <w:sz w:val="28"/>
          <w:szCs w:val="28"/>
        </w:rPr>
        <w:t xml:space="preserve"> </w:t>
      </w:r>
      <w:r w:rsidR="00866778">
        <w:rPr>
          <w:sz w:val="28"/>
          <w:szCs w:val="28"/>
        </w:rPr>
        <w:t xml:space="preserve">Intraocular lens </w:t>
      </w:r>
      <w:r w:rsidR="00A740A7">
        <w:rPr>
          <w:sz w:val="28"/>
          <w:szCs w:val="28"/>
        </w:rPr>
        <w:t>(</w:t>
      </w:r>
      <w:r w:rsidR="00866778">
        <w:rPr>
          <w:sz w:val="28"/>
          <w:szCs w:val="28"/>
        </w:rPr>
        <w:t>IOL</w:t>
      </w:r>
      <w:r w:rsidR="00A740A7">
        <w:rPr>
          <w:sz w:val="28"/>
          <w:szCs w:val="28"/>
        </w:rPr>
        <w:t>)</w:t>
      </w:r>
      <w:r w:rsidR="00866778">
        <w:rPr>
          <w:sz w:val="28"/>
          <w:szCs w:val="28"/>
        </w:rPr>
        <w:t xml:space="preserve"> (</w:t>
      </w:r>
      <w:proofErr w:type="spellStart"/>
      <w:r w:rsidR="00C96C45">
        <w:rPr>
          <w:sz w:val="28"/>
          <w:szCs w:val="28"/>
        </w:rPr>
        <w:t>Acrysof</w:t>
      </w:r>
      <w:proofErr w:type="spellEnd"/>
      <w:r w:rsidR="00866778">
        <w:rPr>
          <w:sz w:val="28"/>
          <w:szCs w:val="28"/>
        </w:rPr>
        <w:t xml:space="preserve">, </w:t>
      </w:r>
      <w:r w:rsidR="00C96C45">
        <w:rPr>
          <w:sz w:val="28"/>
          <w:szCs w:val="28"/>
        </w:rPr>
        <w:t>Alcon</w:t>
      </w:r>
      <w:r w:rsidR="00866778">
        <w:rPr>
          <w:sz w:val="28"/>
          <w:szCs w:val="28"/>
        </w:rPr>
        <w:t>, USA)</w:t>
      </w:r>
      <w:r w:rsidR="00B46FC8">
        <w:rPr>
          <w:sz w:val="28"/>
          <w:szCs w:val="28"/>
        </w:rPr>
        <w:t xml:space="preserve"> was inserted</w:t>
      </w:r>
      <w:r w:rsidR="00866778">
        <w:rPr>
          <w:sz w:val="28"/>
          <w:szCs w:val="28"/>
        </w:rPr>
        <w:t>.</w:t>
      </w:r>
      <w:r w:rsidR="00D16E70">
        <w:rPr>
          <w:sz w:val="28"/>
          <w:szCs w:val="28"/>
        </w:rPr>
        <w:t xml:space="preserve"> </w:t>
      </w:r>
      <w:r w:rsidR="005C280C">
        <w:rPr>
          <w:sz w:val="28"/>
          <w:szCs w:val="28"/>
        </w:rPr>
        <w:t>We</w:t>
      </w:r>
      <w:r w:rsidR="001F520A">
        <w:rPr>
          <w:sz w:val="28"/>
          <w:szCs w:val="28"/>
        </w:rPr>
        <w:t xml:space="preserve"> performed </w:t>
      </w:r>
      <w:r w:rsidR="00566907">
        <w:rPr>
          <w:sz w:val="28"/>
          <w:szCs w:val="28"/>
        </w:rPr>
        <w:t>g</w:t>
      </w:r>
      <w:r w:rsidR="001F3266">
        <w:rPr>
          <w:sz w:val="28"/>
          <w:szCs w:val="28"/>
        </w:rPr>
        <w:t xml:space="preserve">oniotomy </w:t>
      </w:r>
      <w:r w:rsidR="00C96C45">
        <w:rPr>
          <w:sz w:val="28"/>
          <w:szCs w:val="28"/>
        </w:rPr>
        <w:t>via</w:t>
      </w:r>
      <w:r w:rsidR="001F3266">
        <w:rPr>
          <w:sz w:val="28"/>
          <w:szCs w:val="28"/>
        </w:rPr>
        <w:t xml:space="preserve"> an MVR </w:t>
      </w:r>
      <w:r w:rsidR="00566907">
        <w:rPr>
          <w:sz w:val="28"/>
          <w:szCs w:val="28"/>
        </w:rPr>
        <w:t>and</w:t>
      </w:r>
      <w:r w:rsidR="001F3266">
        <w:rPr>
          <w:sz w:val="28"/>
          <w:szCs w:val="28"/>
        </w:rPr>
        <w:t xml:space="preserve"> </w:t>
      </w:r>
      <w:r w:rsidR="00C96C45">
        <w:rPr>
          <w:sz w:val="28"/>
          <w:szCs w:val="28"/>
        </w:rPr>
        <w:t>a surgical</w:t>
      </w:r>
      <w:r w:rsidR="001F3266">
        <w:rPr>
          <w:sz w:val="28"/>
          <w:szCs w:val="28"/>
        </w:rPr>
        <w:t xml:space="preserve"> gonioprism (</w:t>
      </w:r>
      <w:r w:rsidR="00C96C45">
        <w:rPr>
          <w:sz w:val="28"/>
          <w:szCs w:val="28"/>
        </w:rPr>
        <w:t xml:space="preserve">Alcon </w:t>
      </w:r>
      <w:proofErr w:type="spellStart"/>
      <w:r w:rsidR="00C96C45">
        <w:rPr>
          <w:sz w:val="28"/>
          <w:szCs w:val="28"/>
        </w:rPr>
        <w:t>Vold</w:t>
      </w:r>
      <w:proofErr w:type="spellEnd"/>
      <w:r w:rsidR="00C96C45">
        <w:rPr>
          <w:sz w:val="28"/>
          <w:szCs w:val="28"/>
        </w:rPr>
        <w:t xml:space="preserve"> </w:t>
      </w:r>
      <w:proofErr w:type="spellStart"/>
      <w:r w:rsidR="00C96C45">
        <w:rPr>
          <w:sz w:val="28"/>
          <w:szCs w:val="28"/>
        </w:rPr>
        <w:t>Goniolens</w:t>
      </w:r>
      <w:proofErr w:type="spellEnd"/>
      <w:r w:rsidR="00C96C45">
        <w:rPr>
          <w:sz w:val="28"/>
          <w:szCs w:val="28"/>
        </w:rPr>
        <w:t>, Alcon laboratories</w:t>
      </w:r>
      <w:r w:rsidR="00D270BA">
        <w:rPr>
          <w:sz w:val="28"/>
          <w:szCs w:val="28"/>
        </w:rPr>
        <w:t>,</w:t>
      </w:r>
      <w:r w:rsidR="001F3266">
        <w:rPr>
          <w:sz w:val="28"/>
          <w:szCs w:val="28"/>
        </w:rPr>
        <w:t xml:space="preserve"> USA)</w:t>
      </w:r>
      <w:r w:rsidR="008F04E9">
        <w:rPr>
          <w:sz w:val="28"/>
          <w:szCs w:val="28"/>
        </w:rPr>
        <w:t xml:space="preserve"> </w:t>
      </w:r>
      <w:r w:rsidR="005C280C">
        <w:rPr>
          <w:sz w:val="28"/>
          <w:szCs w:val="28"/>
        </w:rPr>
        <w:t xml:space="preserve">in the </w:t>
      </w:r>
      <w:proofErr w:type="spellStart"/>
      <w:r w:rsidR="005C280C">
        <w:rPr>
          <w:sz w:val="28"/>
          <w:szCs w:val="28"/>
        </w:rPr>
        <w:t>P</w:t>
      </w:r>
      <w:r w:rsidR="00C96C45">
        <w:rPr>
          <w:sz w:val="28"/>
          <w:szCs w:val="28"/>
        </w:rPr>
        <w:t>h</w:t>
      </w:r>
      <w:r w:rsidR="005C280C">
        <w:rPr>
          <w:sz w:val="28"/>
          <w:szCs w:val="28"/>
        </w:rPr>
        <w:t>G</w:t>
      </w:r>
      <w:proofErr w:type="spellEnd"/>
      <w:r w:rsidR="005C280C">
        <w:rPr>
          <w:sz w:val="28"/>
          <w:szCs w:val="28"/>
        </w:rPr>
        <w:t xml:space="preserve"> group </w:t>
      </w:r>
      <w:r w:rsidR="00B83677">
        <w:rPr>
          <w:sz w:val="28"/>
          <w:szCs w:val="28"/>
        </w:rPr>
        <w:t xml:space="preserve">through </w:t>
      </w:r>
      <w:r w:rsidR="00866778">
        <w:rPr>
          <w:sz w:val="28"/>
          <w:szCs w:val="28"/>
        </w:rPr>
        <w:t xml:space="preserve">the temporal </w:t>
      </w:r>
      <w:r w:rsidR="00AF6C48">
        <w:rPr>
          <w:sz w:val="28"/>
          <w:szCs w:val="28"/>
        </w:rPr>
        <w:t xml:space="preserve">clear </w:t>
      </w:r>
      <w:r w:rsidR="00866778">
        <w:rPr>
          <w:sz w:val="28"/>
          <w:szCs w:val="28"/>
        </w:rPr>
        <w:t>corneal incision.</w:t>
      </w:r>
      <w:r w:rsidR="00D16E70">
        <w:rPr>
          <w:sz w:val="28"/>
          <w:szCs w:val="28"/>
        </w:rPr>
        <w:t xml:space="preserve"> </w:t>
      </w:r>
      <w:r w:rsidR="003F3C25">
        <w:rPr>
          <w:sz w:val="28"/>
          <w:szCs w:val="28"/>
        </w:rPr>
        <w:t>We turned the</w:t>
      </w:r>
      <w:r w:rsidR="00564015">
        <w:rPr>
          <w:sz w:val="28"/>
          <w:szCs w:val="28"/>
        </w:rPr>
        <w:t xml:space="preserve"> </w:t>
      </w:r>
      <w:r w:rsidR="009C21E4">
        <w:rPr>
          <w:sz w:val="28"/>
          <w:szCs w:val="28"/>
        </w:rPr>
        <w:t>patient's</w:t>
      </w:r>
      <w:r w:rsidR="00566907">
        <w:rPr>
          <w:sz w:val="28"/>
          <w:szCs w:val="28"/>
        </w:rPr>
        <w:t xml:space="preserve"> head 4</w:t>
      </w:r>
      <w:r w:rsidR="004C5673">
        <w:rPr>
          <w:sz w:val="28"/>
          <w:szCs w:val="28"/>
        </w:rPr>
        <w:t>0</w:t>
      </w:r>
      <w:r w:rsidR="00566907">
        <w:rPr>
          <w:sz w:val="28"/>
          <w:szCs w:val="28"/>
        </w:rPr>
        <w:sym w:font="Symbol" w:char="F0B0"/>
      </w:r>
      <w:r w:rsidR="00566907">
        <w:rPr>
          <w:sz w:val="28"/>
          <w:szCs w:val="28"/>
        </w:rPr>
        <w:t xml:space="preserve"> away from the </w:t>
      </w:r>
      <w:r w:rsidR="001F520A">
        <w:rPr>
          <w:sz w:val="28"/>
          <w:szCs w:val="28"/>
        </w:rPr>
        <w:t>surgeon and</w:t>
      </w:r>
      <w:r w:rsidR="0094403D">
        <w:rPr>
          <w:sz w:val="28"/>
          <w:szCs w:val="28"/>
        </w:rPr>
        <w:t xml:space="preserve"> the surgical microscope</w:t>
      </w:r>
      <w:r w:rsidR="003B7812">
        <w:rPr>
          <w:sz w:val="28"/>
          <w:szCs w:val="28"/>
        </w:rPr>
        <w:t xml:space="preserve"> </w:t>
      </w:r>
      <w:r w:rsidR="0094403D">
        <w:rPr>
          <w:sz w:val="28"/>
          <w:szCs w:val="28"/>
        </w:rPr>
        <w:t>4</w:t>
      </w:r>
      <w:r w:rsidR="004C5673">
        <w:rPr>
          <w:sz w:val="28"/>
          <w:szCs w:val="28"/>
        </w:rPr>
        <w:t>0</w:t>
      </w:r>
      <w:r w:rsidR="0094403D">
        <w:rPr>
          <w:sz w:val="28"/>
          <w:szCs w:val="28"/>
        </w:rPr>
        <w:sym w:font="Symbol" w:char="F0B0"/>
      </w:r>
      <w:r w:rsidR="0094403D">
        <w:rPr>
          <w:sz w:val="28"/>
          <w:szCs w:val="28"/>
        </w:rPr>
        <w:t xml:space="preserve"> toward the surgeon. </w:t>
      </w:r>
      <w:r w:rsidR="007959D9">
        <w:rPr>
          <w:sz w:val="28"/>
          <w:szCs w:val="28"/>
        </w:rPr>
        <w:t>Then,</w:t>
      </w:r>
      <w:r w:rsidR="003F3C25">
        <w:rPr>
          <w:sz w:val="28"/>
          <w:szCs w:val="28"/>
        </w:rPr>
        <w:t xml:space="preserve"> we advanced</w:t>
      </w:r>
      <w:r w:rsidR="007959D9">
        <w:rPr>
          <w:sz w:val="28"/>
          <w:szCs w:val="28"/>
        </w:rPr>
        <w:t xml:space="preserve"> t</w:t>
      </w:r>
      <w:r w:rsidR="0094403D">
        <w:rPr>
          <w:sz w:val="28"/>
          <w:szCs w:val="28"/>
        </w:rPr>
        <w:t xml:space="preserve">he MVR </w:t>
      </w:r>
      <w:r w:rsidR="007959D9">
        <w:rPr>
          <w:sz w:val="28"/>
          <w:szCs w:val="28"/>
        </w:rPr>
        <w:t>through the anterior chamber</w:t>
      </w:r>
      <w:r w:rsidR="0094403D">
        <w:rPr>
          <w:sz w:val="28"/>
          <w:szCs w:val="28"/>
        </w:rPr>
        <w:t xml:space="preserve"> toward the nasal angle</w:t>
      </w:r>
      <w:r w:rsidR="00A30E5E">
        <w:rPr>
          <w:sz w:val="28"/>
          <w:szCs w:val="28"/>
        </w:rPr>
        <w:t>.</w:t>
      </w:r>
      <w:r w:rsidR="00D16E70">
        <w:rPr>
          <w:sz w:val="28"/>
          <w:szCs w:val="28"/>
        </w:rPr>
        <w:t xml:space="preserve"> </w:t>
      </w:r>
      <w:r w:rsidR="005C280C">
        <w:rPr>
          <w:sz w:val="28"/>
          <w:szCs w:val="28"/>
        </w:rPr>
        <w:t>Next, we</w:t>
      </w:r>
      <w:r w:rsidR="001F520A">
        <w:rPr>
          <w:sz w:val="28"/>
          <w:szCs w:val="28"/>
        </w:rPr>
        <w:t xml:space="preserve"> </w:t>
      </w:r>
      <w:r w:rsidR="00AF6C48">
        <w:rPr>
          <w:sz w:val="28"/>
          <w:szCs w:val="28"/>
        </w:rPr>
        <w:t xml:space="preserve">circumferentially </w:t>
      </w:r>
      <w:r w:rsidR="001F520A">
        <w:rPr>
          <w:sz w:val="28"/>
          <w:szCs w:val="28"/>
        </w:rPr>
        <w:t>incised t</w:t>
      </w:r>
      <w:r w:rsidR="00A30E5E">
        <w:rPr>
          <w:sz w:val="28"/>
          <w:szCs w:val="28"/>
        </w:rPr>
        <w:t>he</w:t>
      </w:r>
      <w:r w:rsidR="0094403D">
        <w:rPr>
          <w:sz w:val="28"/>
          <w:szCs w:val="28"/>
        </w:rPr>
        <w:t xml:space="preserve"> </w:t>
      </w:r>
      <w:r w:rsidR="00AF6C48">
        <w:rPr>
          <w:sz w:val="28"/>
          <w:szCs w:val="28"/>
        </w:rPr>
        <w:t xml:space="preserve">pigmented part of the </w:t>
      </w:r>
      <w:r w:rsidR="0094403D">
        <w:rPr>
          <w:sz w:val="28"/>
          <w:szCs w:val="28"/>
        </w:rPr>
        <w:t>t</w:t>
      </w:r>
      <w:r w:rsidR="00566907">
        <w:rPr>
          <w:sz w:val="28"/>
          <w:szCs w:val="28"/>
        </w:rPr>
        <w:t xml:space="preserve">rabecular meshwork </w:t>
      </w:r>
      <w:r w:rsidR="00056F5F">
        <w:rPr>
          <w:sz w:val="28"/>
          <w:szCs w:val="28"/>
        </w:rPr>
        <w:t>for</w:t>
      </w:r>
      <w:r w:rsidR="0094403D">
        <w:rPr>
          <w:sz w:val="28"/>
          <w:szCs w:val="28"/>
        </w:rPr>
        <w:t xml:space="preserve"> </w:t>
      </w:r>
      <w:r w:rsidR="00AF6C48">
        <w:rPr>
          <w:sz w:val="28"/>
          <w:szCs w:val="28"/>
        </w:rPr>
        <w:t xml:space="preserve">approximately </w:t>
      </w:r>
      <w:r w:rsidR="0094403D">
        <w:rPr>
          <w:sz w:val="28"/>
          <w:szCs w:val="28"/>
        </w:rPr>
        <w:t>1</w:t>
      </w:r>
      <w:r w:rsidR="00AF6C48">
        <w:rPr>
          <w:sz w:val="28"/>
          <w:szCs w:val="28"/>
        </w:rPr>
        <w:t>35</w:t>
      </w:r>
      <w:r w:rsidR="0094403D">
        <w:rPr>
          <w:sz w:val="28"/>
          <w:szCs w:val="28"/>
        </w:rPr>
        <w:sym w:font="Symbol" w:char="F0B0"/>
      </w:r>
      <w:r w:rsidR="0094403D">
        <w:rPr>
          <w:sz w:val="28"/>
          <w:szCs w:val="28"/>
        </w:rPr>
        <w:t>.</w:t>
      </w:r>
      <w:r w:rsidR="00D16E70">
        <w:rPr>
          <w:sz w:val="28"/>
          <w:szCs w:val="28"/>
        </w:rPr>
        <w:t xml:space="preserve"> </w:t>
      </w:r>
      <w:r w:rsidR="0094403D">
        <w:rPr>
          <w:sz w:val="28"/>
          <w:szCs w:val="28"/>
        </w:rPr>
        <w:t>The</w:t>
      </w:r>
      <w:r w:rsidR="003F3C25">
        <w:rPr>
          <w:sz w:val="28"/>
          <w:szCs w:val="28"/>
        </w:rPr>
        <w:t>n we withdraw the</w:t>
      </w:r>
      <w:r w:rsidR="0094403D">
        <w:rPr>
          <w:sz w:val="28"/>
          <w:szCs w:val="28"/>
        </w:rPr>
        <w:t xml:space="preserve"> MVR</w:t>
      </w:r>
      <w:r w:rsidR="00AF6C48">
        <w:rPr>
          <w:sz w:val="28"/>
          <w:szCs w:val="28"/>
        </w:rPr>
        <w:t xml:space="preserve">, and </w:t>
      </w:r>
      <w:r w:rsidR="001F30E7">
        <w:rPr>
          <w:sz w:val="28"/>
          <w:szCs w:val="28"/>
        </w:rPr>
        <w:t>the</w:t>
      </w:r>
      <w:r w:rsidR="0094403D">
        <w:rPr>
          <w:sz w:val="28"/>
          <w:szCs w:val="28"/>
        </w:rPr>
        <w:t xml:space="preserve"> surgical microscope</w:t>
      </w:r>
      <w:r w:rsidR="00AF6C48">
        <w:rPr>
          <w:sz w:val="28"/>
          <w:szCs w:val="28"/>
        </w:rPr>
        <w:t xml:space="preserve"> and patient’s head</w:t>
      </w:r>
      <w:r w:rsidR="0094403D">
        <w:rPr>
          <w:sz w:val="28"/>
          <w:szCs w:val="28"/>
        </w:rPr>
        <w:t xml:space="preserve"> </w:t>
      </w:r>
      <w:r w:rsidR="00AF6C48">
        <w:rPr>
          <w:sz w:val="28"/>
          <w:szCs w:val="28"/>
        </w:rPr>
        <w:t xml:space="preserve">were returned </w:t>
      </w:r>
      <w:r w:rsidR="0094403D">
        <w:rPr>
          <w:sz w:val="28"/>
          <w:szCs w:val="28"/>
        </w:rPr>
        <w:t>to the primary position</w:t>
      </w:r>
      <w:r w:rsidR="00AF6C48">
        <w:rPr>
          <w:sz w:val="28"/>
          <w:szCs w:val="28"/>
        </w:rPr>
        <w:t>.</w:t>
      </w:r>
      <w:r w:rsidR="0094403D">
        <w:rPr>
          <w:sz w:val="28"/>
          <w:szCs w:val="28"/>
        </w:rPr>
        <w:t xml:space="preserve"> </w:t>
      </w:r>
      <w:r w:rsidR="00AF6C48">
        <w:rPr>
          <w:sz w:val="28"/>
          <w:szCs w:val="28"/>
        </w:rPr>
        <w:t xml:space="preserve">Finally, </w:t>
      </w:r>
      <w:r w:rsidR="00B020F5">
        <w:rPr>
          <w:sz w:val="28"/>
          <w:szCs w:val="28"/>
        </w:rPr>
        <w:t xml:space="preserve">we washed out the </w:t>
      </w:r>
      <w:proofErr w:type="spellStart"/>
      <w:r w:rsidR="00AF6C48">
        <w:rPr>
          <w:sz w:val="28"/>
          <w:szCs w:val="28"/>
        </w:rPr>
        <w:t>h</w:t>
      </w:r>
      <w:r w:rsidR="00F73E1B">
        <w:rPr>
          <w:sz w:val="28"/>
          <w:szCs w:val="28"/>
        </w:rPr>
        <w:t>ealon</w:t>
      </w:r>
      <w:proofErr w:type="spellEnd"/>
      <w:r w:rsidR="00F73E1B">
        <w:rPr>
          <w:sz w:val="28"/>
          <w:szCs w:val="28"/>
        </w:rPr>
        <w:t xml:space="preserve"> </w:t>
      </w:r>
      <w:r w:rsidR="0094403D">
        <w:rPr>
          <w:sz w:val="28"/>
          <w:szCs w:val="28"/>
        </w:rPr>
        <w:t xml:space="preserve">from the </w:t>
      </w:r>
      <w:r w:rsidR="00562B3D">
        <w:rPr>
          <w:sz w:val="28"/>
          <w:szCs w:val="28"/>
        </w:rPr>
        <w:t>eye</w:t>
      </w:r>
      <w:r w:rsidR="0094403D">
        <w:rPr>
          <w:sz w:val="28"/>
          <w:szCs w:val="28"/>
        </w:rPr>
        <w:t>.</w:t>
      </w:r>
      <w:r w:rsidR="00476BAF">
        <w:rPr>
          <w:sz w:val="28"/>
          <w:szCs w:val="28"/>
        </w:rPr>
        <w:t xml:space="preserve"> </w:t>
      </w:r>
    </w:p>
    <w:p w14:paraId="59EB4DD4" w14:textId="79529BD2" w:rsidR="00476BAF" w:rsidRDefault="00AF6C48" w:rsidP="00B552B8">
      <w:pPr>
        <w:spacing w:before="100" w:beforeAutospacing="1" w:after="100" w:afterAutospacing="1"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We</w:t>
      </w:r>
      <w:r w:rsidR="00562B3D">
        <w:rPr>
          <w:sz w:val="28"/>
          <w:szCs w:val="28"/>
        </w:rPr>
        <w:t xml:space="preserve"> prescribed</w:t>
      </w:r>
      <w:r w:rsidR="00476BAF">
        <w:rPr>
          <w:sz w:val="28"/>
          <w:szCs w:val="28"/>
        </w:rPr>
        <w:t xml:space="preserve"> </w:t>
      </w:r>
      <w:r w:rsidR="00ED7D33">
        <w:rPr>
          <w:sz w:val="28"/>
          <w:szCs w:val="28"/>
        </w:rPr>
        <w:t>postoperative</w:t>
      </w:r>
      <w:r w:rsidR="00476BAF">
        <w:rPr>
          <w:sz w:val="28"/>
          <w:szCs w:val="28"/>
        </w:rPr>
        <w:t xml:space="preserve"> Prednisolone acetate 1%</w:t>
      </w:r>
      <w:r>
        <w:rPr>
          <w:sz w:val="28"/>
          <w:szCs w:val="28"/>
        </w:rPr>
        <w:t xml:space="preserve"> and Moxifloxacin (5mg/ml)</w:t>
      </w:r>
      <w:r w:rsidR="00476BAF">
        <w:rPr>
          <w:sz w:val="28"/>
          <w:szCs w:val="28"/>
        </w:rPr>
        <w:t xml:space="preserve"> eye drops </w:t>
      </w:r>
      <w:r w:rsidR="00973481">
        <w:rPr>
          <w:sz w:val="28"/>
          <w:szCs w:val="28"/>
        </w:rPr>
        <w:t>five</w:t>
      </w:r>
      <w:r w:rsidR="00476BAF">
        <w:rPr>
          <w:sz w:val="28"/>
          <w:szCs w:val="28"/>
        </w:rPr>
        <w:t xml:space="preserve"> times daily for </w:t>
      </w:r>
      <w:r>
        <w:rPr>
          <w:sz w:val="28"/>
          <w:szCs w:val="28"/>
        </w:rPr>
        <w:t>four</w:t>
      </w:r>
      <w:r w:rsidR="00476BAF">
        <w:rPr>
          <w:sz w:val="28"/>
          <w:szCs w:val="28"/>
        </w:rPr>
        <w:t xml:space="preserve"> weeks</w:t>
      </w:r>
      <w:r>
        <w:rPr>
          <w:sz w:val="28"/>
          <w:szCs w:val="28"/>
        </w:rPr>
        <w:t xml:space="preserve"> for all study patients</w:t>
      </w:r>
      <w:r w:rsidR="00476BAF">
        <w:rPr>
          <w:sz w:val="28"/>
          <w:szCs w:val="28"/>
        </w:rPr>
        <w:t>.</w:t>
      </w:r>
      <w:r w:rsidR="00D16E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We stopped a</w:t>
      </w:r>
      <w:r w:rsidR="00476BAF">
        <w:rPr>
          <w:sz w:val="28"/>
          <w:szCs w:val="28"/>
        </w:rPr>
        <w:t xml:space="preserve">ll IOP lowering </w:t>
      </w:r>
      <w:r w:rsidR="003F3C25">
        <w:rPr>
          <w:sz w:val="28"/>
          <w:szCs w:val="28"/>
        </w:rPr>
        <w:t>medications</w:t>
      </w:r>
      <w:r w:rsidR="00476BAF">
        <w:rPr>
          <w:sz w:val="28"/>
          <w:szCs w:val="28"/>
        </w:rPr>
        <w:t xml:space="preserve"> after surgery.</w:t>
      </w:r>
      <w:r w:rsidR="00D16E70">
        <w:rPr>
          <w:sz w:val="28"/>
          <w:szCs w:val="28"/>
        </w:rPr>
        <w:t xml:space="preserve"> </w:t>
      </w:r>
      <w:r w:rsidR="00476BAF">
        <w:rPr>
          <w:sz w:val="28"/>
          <w:szCs w:val="28"/>
        </w:rPr>
        <w:t xml:space="preserve">However, they were reinstated </w:t>
      </w:r>
      <w:r w:rsidR="00DE372D">
        <w:rPr>
          <w:sz w:val="28"/>
          <w:szCs w:val="28"/>
        </w:rPr>
        <w:t>if</w:t>
      </w:r>
      <w:r w:rsidR="00A740A7">
        <w:rPr>
          <w:sz w:val="28"/>
          <w:szCs w:val="28"/>
        </w:rPr>
        <w:t xml:space="preserve"> the</w:t>
      </w:r>
      <w:r w:rsidR="00476BAF">
        <w:rPr>
          <w:sz w:val="28"/>
          <w:szCs w:val="28"/>
        </w:rPr>
        <w:t xml:space="preserve"> IOP </w:t>
      </w:r>
      <w:r>
        <w:rPr>
          <w:sz w:val="28"/>
          <w:szCs w:val="28"/>
        </w:rPr>
        <w:t>surpassed</w:t>
      </w:r>
      <w:r w:rsidR="00476BAF">
        <w:rPr>
          <w:sz w:val="28"/>
          <w:szCs w:val="28"/>
        </w:rPr>
        <w:t xml:space="preserve"> </w:t>
      </w:r>
      <w:r>
        <w:rPr>
          <w:sz w:val="28"/>
          <w:szCs w:val="28"/>
        </w:rPr>
        <w:t>its</w:t>
      </w:r>
      <w:r w:rsidR="00476BAF">
        <w:rPr>
          <w:sz w:val="28"/>
          <w:szCs w:val="28"/>
        </w:rPr>
        <w:t xml:space="preserve"> target for each patient.</w:t>
      </w:r>
    </w:p>
    <w:p w14:paraId="7D93EFA5" w14:textId="7014DBF5" w:rsidR="00116CBC" w:rsidRDefault="00742C03" w:rsidP="00B552B8">
      <w:pPr>
        <w:spacing w:line="480" w:lineRule="auto"/>
        <w:ind w:firstLine="567"/>
        <w:jc w:val="both"/>
        <w:rPr>
          <w:sz w:val="28"/>
          <w:szCs w:val="28"/>
          <w:rtl/>
        </w:rPr>
      </w:pPr>
      <w:r>
        <w:rPr>
          <w:sz w:val="28"/>
          <w:szCs w:val="28"/>
        </w:rPr>
        <w:lastRenderedPageBreak/>
        <w:t xml:space="preserve">We recorded all the </w:t>
      </w:r>
      <w:r w:rsidR="008E794A">
        <w:rPr>
          <w:sz w:val="28"/>
          <w:szCs w:val="28"/>
        </w:rPr>
        <w:t>pre-or postoperative complications</w:t>
      </w:r>
      <w:r w:rsidR="0061243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and they </w:t>
      </w:r>
      <w:r w:rsidR="00612434">
        <w:rPr>
          <w:sz w:val="28"/>
          <w:szCs w:val="28"/>
        </w:rPr>
        <w:t>were</w:t>
      </w:r>
      <w:r w:rsidR="00CC7CBB">
        <w:rPr>
          <w:sz w:val="28"/>
          <w:szCs w:val="28"/>
        </w:rPr>
        <w:t xml:space="preserve"> </w:t>
      </w:r>
      <w:r w:rsidR="003B4014">
        <w:rPr>
          <w:sz w:val="28"/>
          <w:szCs w:val="28"/>
        </w:rPr>
        <w:t>managed accordingly.</w:t>
      </w:r>
      <w:r w:rsidR="00D16E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We </w:t>
      </w:r>
      <w:r w:rsidR="008E794A">
        <w:rPr>
          <w:sz w:val="28"/>
          <w:szCs w:val="28"/>
        </w:rPr>
        <w:t>followed up</w:t>
      </w:r>
      <w:r>
        <w:rPr>
          <w:sz w:val="28"/>
          <w:szCs w:val="28"/>
        </w:rPr>
        <w:t xml:space="preserve"> all </w:t>
      </w:r>
      <w:r w:rsidR="00116CBC">
        <w:rPr>
          <w:sz w:val="28"/>
          <w:szCs w:val="28"/>
        </w:rPr>
        <w:t>patients for 24 months.</w:t>
      </w:r>
      <w:r w:rsidR="00D16E70">
        <w:rPr>
          <w:sz w:val="28"/>
          <w:szCs w:val="28"/>
        </w:rPr>
        <w:t xml:space="preserve"> </w:t>
      </w:r>
      <w:r w:rsidR="00235F10">
        <w:rPr>
          <w:sz w:val="28"/>
          <w:szCs w:val="28"/>
        </w:rPr>
        <w:t>We scheduled p</w:t>
      </w:r>
      <w:r w:rsidR="00ED7D33">
        <w:rPr>
          <w:sz w:val="28"/>
          <w:szCs w:val="28"/>
        </w:rPr>
        <w:t>ostoperative</w:t>
      </w:r>
      <w:r w:rsidR="00116CBC">
        <w:rPr>
          <w:sz w:val="28"/>
          <w:szCs w:val="28"/>
        </w:rPr>
        <w:t xml:space="preserve"> visits </w:t>
      </w:r>
      <w:r w:rsidR="00941EB0">
        <w:rPr>
          <w:sz w:val="28"/>
          <w:szCs w:val="28"/>
        </w:rPr>
        <w:t>for</w:t>
      </w:r>
      <w:r w:rsidR="00116CBC">
        <w:rPr>
          <w:sz w:val="28"/>
          <w:szCs w:val="28"/>
        </w:rPr>
        <w:t xml:space="preserve"> </w:t>
      </w:r>
      <w:r w:rsidR="00B36593">
        <w:rPr>
          <w:sz w:val="28"/>
          <w:szCs w:val="28"/>
        </w:rPr>
        <w:t>1</w:t>
      </w:r>
      <w:r w:rsidR="00116CBC">
        <w:rPr>
          <w:sz w:val="28"/>
          <w:szCs w:val="28"/>
        </w:rPr>
        <w:t xml:space="preserve"> week, </w:t>
      </w:r>
      <w:r w:rsidR="00B36593">
        <w:rPr>
          <w:sz w:val="28"/>
          <w:szCs w:val="28"/>
        </w:rPr>
        <w:t>1</w:t>
      </w:r>
      <w:r w:rsidR="00116CBC">
        <w:rPr>
          <w:sz w:val="28"/>
          <w:szCs w:val="28"/>
        </w:rPr>
        <w:t xml:space="preserve"> month, </w:t>
      </w:r>
      <w:r w:rsidR="00B36593">
        <w:rPr>
          <w:sz w:val="28"/>
          <w:szCs w:val="28"/>
        </w:rPr>
        <w:t>3</w:t>
      </w:r>
      <w:r w:rsidR="00116CBC">
        <w:rPr>
          <w:sz w:val="28"/>
          <w:szCs w:val="28"/>
        </w:rPr>
        <w:t xml:space="preserve"> months, </w:t>
      </w:r>
      <w:r w:rsidR="00B36593">
        <w:rPr>
          <w:sz w:val="28"/>
          <w:szCs w:val="28"/>
        </w:rPr>
        <w:t>6</w:t>
      </w:r>
      <w:r w:rsidR="00116CBC">
        <w:rPr>
          <w:sz w:val="28"/>
          <w:szCs w:val="28"/>
        </w:rPr>
        <w:t xml:space="preserve"> months, 12 months, and 24 months.</w:t>
      </w:r>
      <w:r w:rsidR="00D16E70">
        <w:rPr>
          <w:sz w:val="28"/>
          <w:szCs w:val="28"/>
        </w:rPr>
        <w:t xml:space="preserve"> </w:t>
      </w:r>
      <w:r w:rsidR="008E794A">
        <w:rPr>
          <w:sz w:val="28"/>
          <w:szCs w:val="28"/>
        </w:rPr>
        <w:t>We</w:t>
      </w:r>
      <w:r>
        <w:rPr>
          <w:sz w:val="28"/>
          <w:szCs w:val="28"/>
        </w:rPr>
        <w:t xml:space="preserve"> checked the</w:t>
      </w:r>
      <w:r w:rsidR="00116CBC">
        <w:rPr>
          <w:sz w:val="28"/>
          <w:szCs w:val="28"/>
        </w:rPr>
        <w:t xml:space="preserve"> IOP</w:t>
      </w:r>
      <w:r w:rsidR="0042497E">
        <w:rPr>
          <w:sz w:val="28"/>
          <w:szCs w:val="28"/>
        </w:rPr>
        <w:t>,</w:t>
      </w:r>
      <w:r w:rsidR="00CC7CBB">
        <w:rPr>
          <w:sz w:val="28"/>
          <w:szCs w:val="28"/>
        </w:rPr>
        <w:t xml:space="preserve"> </w:t>
      </w:r>
      <w:r w:rsidR="009000FF">
        <w:rPr>
          <w:sz w:val="28"/>
          <w:szCs w:val="28"/>
        </w:rPr>
        <w:t xml:space="preserve">the </w:t>
      </w:r>
      <w:r w:rsidR="00CC7CBB">
        <w:rPr>
          <w:sz w:val="28"/>
          <w:szCs w:val="28"/>
        </w:rPr>
        <w:t xml:space="preserve">number of IOP lowering </w:t>
      </w:r>
      <w:r w:rsidR="003F3C25">
        <w:rPr>
          <w:sz w:val="28"/>
          <w:szCs w:val="28"/>
        </w:rPr>
        <w:t>medications</w:t>
      </w:r>
      <w:r w:rsidR="00CC7CBB">
        <w:rPr>
          <w:sz w:val="28"/>
          <w:szCs w:val="28"/>
        </w:rPr>
        <w:t>,</w:t>
      </w:r>
      <w:r w:rsidR="00116C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</w:t>
      </w:r>
      <w:r w:rsidR="00116CBC">
        <w:rPr>
          <w:sz w:val="28"/>
          <w:szCs w:val="28"/>
        </w:rPr>
        <w:t>visual acuity</w:t>
      </w:r>
      <w:r w:rsidR="00CC7CBB">
        <w:rPr>
          <w:sz w:val="28"/>
          <w:szCs w:val="28"/>
        </w:rPr>
        <w:t xml:space="preserve">, and any </w:t>
      </w:r>
      <w:r w:rsidR="00B020F5">
        <w:rPr>
          <w:sz w:val="28"/>
          <w:szCs w:val="28"/>
        </w:rPr>
        <w:t xml:space="preserve">intra- or </w:t>
      </w:r>
      <w:r w:rsidR="00ED7D33">
        <w:rPr>
          <w:sz w:val="28"/>
          <w:szCs w:val="28"/>
        </w:rPr>
        <w:t>post</w:t>
      </w:r>
      <w:r w:rsidR="00B020F5">
        <w:rPr>
          <w:sz w:val="28"/>
          <w:szCs w:val="28"/>
        </w:rPr>
        <w:t>-</w:t>
      </w:r>
      <w:r w:rsidR="00ED7D33">
        <w:rPr>
          <w:sz w:val="28"/>
          <w:szCs w:val="28"/>
        </w:rPr>
        <w:t>operative</w:t>
      </w:r>
      <w:r w:rsidR="00CC7CBB">
        <w:rPr>
          <w:sz w:val="28"/>
          <w:szCs w:val="28"/>
        </w:rPr>
        <w:t xml:space="preserve"> complications</w:t>
      </w:r>
      <w:r w:rsidR="008E794A">
        <w:rPr>
          <w:sz w:val="28"/>
          <w:szCs w:val="28"/>
        </w:rPr>
        <w:t xml:space="preserve"> in all visits</w:t>
      </w:r>
      <w:r w:rsidR="00CC7CBB">
        <w:rPr>
          <w:sz w:val="28"/>
          <w:szCs w:val="28"/>
        </w:rPr>
        <w:t>.</w:t>
      </w:r>
      <w:r w:rsidR="00D16E70">
        <w:rPr>
          <w:sz w:val="28"/>
          <w:szCs w:val="28"/>
        </w:rPr>
        <w:t xml:space="preserve"> </w:t>
      </w:r>
      <w:r w:rsidR="00EC2F14">
        <w:rPr>
          <w:sz w:val="28"/>
          <w:szCs w:val="28"/>
        </w:rPr>
        <w:t>We defined the s</w:t>
      </w:r>
      <w:r w:rsidR="00CF7DDC">
        <w:rPr>
          <w:sz w:val="28"/>
          <w:szCs w:val="28"/>
        </w:rPr>
        <w:t xml:space="preserve">uccess criteria </w:t>
      </w:r>
      <w:r w:rsidR="00235F10">
        <w:rPr>
          <w:sz w:val="28"/>
          <w:szCs w:val="28"/>
        </w:rPr>
        <w:t xml:space="preserve">at the end of the study </w:t>
      </w:r>
      <w:r w:rsidR="00CF7DDC">
        <w:rPr>
          <w:sz w:val="28"/>
          <w:szCs w:val="28"/>
        </w:rPr>
        <w:t>as</w:t>
      </w:r>
      <w:r w:rsidR="00CF7DDC" w:rsidRPr="00CF7DDC">
        <w:rPr>
          <w:sz w:val="28"/>
          <w:szCs w:val="28"/>
        </w:rPr>
        <w:t xml:space="preserve"> IOP ≤21 mmHg, a 20% </w:t>
      </w:r>
      <w:r w:rsidR="00A27B51">
        <w:rPr>
          <w:sz w:val="28"/>
          <w:szCs w:val="28"/>
        </w:rPr>
        <w:t>reduction</w:t>
      </w:r>
      <w:r w:rsidR="00CF7DDC" w:rsidRPr="00CF7DDC">
        <w:rPr>
          <w:sz w:val="28"/>
          <w:szCs w:val="28"/>
        </w:rPr>
        <w:t xml:space="preserve"> from </w:t>
      </w:r>
      <w:r w:rsidR="00CF7DDC">
        <w:rPr>
          <w:sz w:val="28"/>
          <w:szCs w:val="28"/>
        </w:rPr>
        <w:t>the non-medicated</w:t>
      </w:r>
      <w:r w:rsidR="00B020F5">
        <w:rPr>
          <w:sz w:val="28"/>
          <w:szCs w:val="28"/>
        </w:rPr>
        <w:t xml:space="preserve"> preoperative</w:t>
      </w:r>
      <w:r w:rsidR="00CF7DDC">
        <w:rPr>
          <w:sz w:val="28"/>
          <w:szCs w:val="28"/>
        </w:rPr>
        <w:t xml:space="preserve"> IOP</w:t>
      </w:r>
      <w:r w:rsidR="00562B3D">
        <w:rPr>
          <w:sz w:val="28"/>
          <w:szCs w:val="28"/>
        </w:rPr>
        <w:t xml:space="preserve"> level</w:t>
      </w:r>
      <w:r w:rsidR="00CF7DDC" w:rsidRPr="00CF7DDC">
        <w:rPr>
          <w:sz w:val="28"/>
          <w:szCs w:val="28"/>
        </w:rPr>
        <w:t xml:space="preserve">, </w:t>
      </w:r>
      <w:r w:rsidR="00B020F5">
        <w:rPr>
          <w:sz w:val="28"/>
          <w:szCs w:val="28"/>
        </w:rPr>
        <w:t>with</w:t>
      </w:r>
      <w:r w:rsidR="00CF7DDC" w:rsidRPr="00CF7DDC">
        <w:rPr>
          <w:sz w:val="28"/>
          <w:szCs w:val="28"/>
        </w:rPr>
        <w:t xml:space="preserve"> no </w:t>
      </w:r>
      <w:r w:rsidR="00CF7DDC">
        <w:rPr>
          <w:sz w:val="28"/>
          <w:szCs w:val="28"/>
        </w:rPr>
        <w:t xml:space="preserve">need </w:t>
      </w:r>
      <w:r w:rsidR="00562B3D">
        <w:rPr>
          <w:sz w:val="28"/>
          <w:szCs w:val="28"/>
        </w:rPr>
        <w:t>to have</w:t>
      </w:r>
      <w:r w:rsidR="00CF7DDC">
        <w:rPr>
          <w:sz w:val="28"/>
          <w:szCs w:val="28"/>
        </w:rPr>
        <w:t xml:space="preserve"> further </w:t>
      </w:r>
      <w:r w:rsidR="00235F10">
        <w:rPr>
          <w:sz w:val="28"/>
          <w:szCs w:val="28"/>
        </w:rPr>
        <w:t>glaucoma</w:t>
      </w:r>
      <w:r w:rsidR="00CF7DDC">
        <w:rPr>
          <w:sz w:val="28"/>
          <w:szCs w:val="28"/>
        </w:rPr>
        <w:t xml:space="preserve"> </w:t>
      </w:r>
      <w:r w:rsidR="00F73E1B">
        <w:rPr>
          <w:sz w:val="28"/>
          <w:szCs w:val="28"/>
        </w:rPr>
        <w:t>procedures</w:t>
      </w:r>
      <w:r w:rsidR="00CF7DDC">
        <w:rPr>
          <w:sz w:val="28"/>
          <w:szCs w:val="28"/>
        </w:rPr>
        <w:t>.</w:t>
      </w:r>
      <w:r w:rsidR="00CF7DDC" w:rsidRPr="00CF7DDC">
        <w:rPr>
          <w:sz w:val="28"/>
          <w:szCs w:val="28"/>
        </w:rPr>
        <w:t xml:space="preserve"> </w:t>
      </w:r>
    </w:p>
    <w:p w14:paraId="630217F7" w14:textId="77777777" w:rsidR="00CF7DDC" w:rsidRPr="00CF7DDC" w:rsidRDefault="00CF7DDC" w:rsidP="00B552B8">
      <w:pPr>
        <w:spacing w:line="480" w:lineRule="auto"/>
        <w:ind w:firstLine="567"/>
        <w:jc w:val="both"/>
        <w:rPr>
          <w:sz w:val="28"/>
          <w:szCs w:val="28"/>
        </w:rPr>
      </w:pPr>
    </w:p>
    <w:p w14:paraId="2169C280" w14:textId="6E8F2850" w:rsidR="00301E35" w:rsidRPr="00DA7ED3" w:rsidRDefault="008846E0" w:rsidP="00DA7ED3">
      <w:pPr>
        <w:spacing w:line="480" w:lineRule="auto"/>
        <w:ind w:firstLine="720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We analysed data</w:t>
      </w:r>
      <w:r w:rsidR="00F85B75" w:rsidRPr="00E60359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5345C3">
        <w:rPr>
          <w:rFonts w:asciiTheme="majorBidi" w:hAnsiTheme="majorBidi" w:cstheme="majorBidi"/>
          <w:sz w:val="28"/>
          <w:szCs w:val="28"/>
          <w:lang w:val="en-GB"/>
        </w:rPr>
        <w:t xml:space="preserve">using </w:t>
      </w:r>
      <w:r w:rsidR="00F85B75" w:rsidRPr="00E60359">
        <w:rPr>
          <w:rFonts w:asciiTheme="majorBidi" w:hAnsiTheme="majorBidi" w:cstheme="majorBidi"/>
          <w:sz w:val="28"/>
          <w:szCs w:val="28"/>
        </w:rPr>
        <w:t>Graph Pad Prism 5 (GraphPad Software, Inc., La Jolla, CA, USA)</w:t>
      </w:r>
      <w:r w:rsidR="009000FF" w:rsidRPr="009000FF">
        <w:rPr>
          <w:sz w:val="28"/>
          <w:szCs w:val="28"/>
        </w:rPr>
        <w:t>.</w:t>
      </w:r>
      <w:r w:rsidR="00D16E70">
        <w:rPr>
          <w:sz w:val="28"/>
          <w:szCs w:val="28"/>
        </w:rPr>
        <w:t xml:space="preserve"> </w:t>
      </w:r>
      <w:r>
        <w:rPr>
          <w:sz w:val="28"/>
          <w:szCs w:val="28"/>
        </w:rPr>
        <w:t>Results were presented</w:t>
      </w:r>
      <w:r w:rsidR="009000FF" w:rsidRPr="009000FF">
        <w:rPr>
          <w:sz w:val="28"/>
          <w:szCs w:val="28"/>
        </w:rPr>
        <w:t xml:space="preserve"> as mean values ± standard error of the mean.</w:t>
      </w:r>
      <w:r w:rsidR="00D16E70">
        <w:rPr>
          <w:rFonts w:asciiTheme="majorBidi" w:hAnsiTheme="majorBidi" w:cstheme="majorBidi"/>
          <w:sz w:val="28"/>
          <w:szCs w:val="28"/>
        </w:rPr>
        <w:t xml:space="preserve"> </w:t>
      </w:r>
      <w:r w:rsidR="00B020F5">
        <w:rPr>
          <w:rFonts w:asciiTheme="majorBidi" w:hAnsiTheme="majorBidi" w:cstheme="majorBidi"/>
          <w:sz w:val="28"/>
          <w:szCs w:val="28"/>
        </w:rPr>
        <w:t xml:space="preserve">We used </w:t>
      </w:r>
      <w:r w:rsidR="00F85B75" w:rsidRPr="00E60359">
        <w:rPr>
          <w:rFonts w:asciiTheme="majorBidi" w:hAnsiTheme="majorBidi" w:cstheme="majorBidi"/>
          <w:sz w:val="28"/>
          <w:szCs w:val="28"/>
        </w:rPr>
        <w:t xml:space="preserve">One-way analysis of variance </w:t>
      </w:r>
      <w:r w:rsidR="00F85B75">
        <w:rPr>
          <w:rFonts w:asciiTheme="majorBidi" w:hAnsiTheme="majorBidi" w:cstheme="majorBidi"/>
          <w:sz w:val="28"/>
          <w:szCs w:val="28"/>
        </w:rPr>
        <w:t xml:space="preserve">(ANOVA) </w:t>
      </w:r>
      <w:r w:rsidR="00F85B75" w:rsidRPr="00E60359">
        <w:rPr>
          <w:rFonts w:asciiTheme="majorBidi" w:hAnsiTheme="majorBidi" w:cstheme="majorBidi"/>
          <w:sz w:val="28"/>
          <w:szCs w:val="28"/>
        </w:rPr>
        <w:t xml:space="preserve">with </w:t>
      </w:r>
      <w:r w:rsidR="00941EB0">
        <w:rPr>
          <w:rFonts w:asciiTheme="majorBidi" w:hAnsiTheme="majorBidi" w:cstheme="majorBidi"/>
          <w:sz w:val="28"/>
          <w:szCs w:val="28"/>
        </w:rPr>
        <w:t xml:space="preserve">the </w:t>
      </w:r>
      <w:r w:rsidR="00392660">
        <w:rPr>
          <w:rFonts w:asciiTheme="majorBidi" w:hAnsiTheme="majorBidi" w:cstheme="majorBidi"/>
          <w:sz w:val="28"/>
          <w:szCs w:val="28"/>
        </w:rPr>
        <w:t>Tukey</w:t>
      </w:r>
      <w:r w:rsidR="00F85B75" w:rsidRPr="00E60359">
        <w:rPr>
          <w:rFonts w:asciiTheme="majorBidi" w:hAnsiTheme="majorBidi" w:cstheme="majorBidi"/>
          <w:sz w:val="28"/>
          <w:szCs w:val="28"/>
        </w:rPr>
        <w:t>-</w:t>
      </w:r>
      <w:r w:rsidR="00392660">
        <w:rPr>
          <w:rFonts w:asciiTheme="majorBidi" w:hAnsiTheme="majorBidi" w:cstheme="majorBidi"/>
          <w:sz w:val="28"/>
          <w:szCs w:val="28"/>
        </w:rPr>
        <w:t>Kramer</w:t>
      </w:r>
      <w:r w:rsidR="00F85B75" w:rsidRPr="00E60359">
        <w:rPr>
          <w:rFonts w:asciiTheme="majorBidi" w:hAnsiTheme="majorBidi" w:cstheme="majorBidi"/>
          <w:sz w:val="28"/>
          <w:szCs w:val="28"/>
        </w:rPr>
        <w:t xml:space="preserve"> </w:t>
      </w:r>
      <w:r w:rsidR="00392660">
        <w:rPr>
          <w:rFonts w:asciiTheme="majorBidi" w:hAnsiTheme="majorBidi" w:cstheme="majorBidi"/>
          <w:i/>
          <w:iCs/>
          <w:sz w:val="28"/>
          <w:szCs w:val="28"/>
        </w:rPr>
        <w:t>post-hoc-test</w:t>
      </w:r>
      <w:r w:rsidR="00F85B75" w:rsidRPr="00E60359">
        <w:rPr>
          <w:rFonts w:asciiTheme="majorBidi" w:hAnsiTheme="majorBidi" w:cstheme="majorBidi"/>
          <w:i/>
          <w:iCs/>
          <w:sz w:val="28"/>
          <w:szCs w:val="28"/>
        </w:rPr>
        <w:t>.</w:t>
      </w:r>
      <w:r w:rsidR="00D16E70">
        <w:rPr>
          <w:rFonts w:asciiTheme="majorBidi" w:hAnsiTheme="majorBidi" w:cstheme="majorBidi"/>
          <w:sz w:val="28"/>
          <w:szCs w:val="28"/>
        </w:rPr>
        <w:t xml:space="preserve"> </w:t>
      </w:r>
      <w:r w:rsidR="00F85B75" w:rsidRPr="00E60359">
        <w:rPr>
          <w:rFonts w:asciiTheme="majorBidi" w:hAnsiTheme="majorBidi" w:cstheme="majorBidi"/>
          <w:sz w:val="28"/>
          <w:szCs w:val="28"/>
        </w:rPr>
        <w:t xml:space="preserve">Differences were considered statistically significant </w:t>
      </w:r>
      <w:r w:rsidR="00B020F5">
        <w:rPr>
          <w:rFonts w:asciiTheme="majorBidi" w:hAnsiTheme="majorBidi" w:cstheme="majorBidi"/>
          <w:sz w:val="28"/>
          <w:szCs w:val="28"/>
        </w:rPr>
        <w:t>w</w:t>
      </w:r>
      <w:r w:rsidR="00765F63">
        <w:rPr>
          <w:rFonts w:asciiTheme="majorBidi" w:hAnsiTheme="majorBidi" w:cstheme="majorBidi"/>
          <w:sz w:val="28"/>
          <w:szCs w:val="28"/>
        </w:rPr>
        <w:t>hen</w:t>
      </w:r>
      <w:r w:rsidR="00392660">
        <w:rPr>
          <w:rFonts w:asciiTheme="majorBidi" w:hAnsiTheme="majorBidi" w:cstheme="majorBidi"/>
          <w:sz w:val="28"/>
          <w:szCs w:val="28"/>
          <w:lang w:val="en-GB"/>
        </w:rPr>
        <w:t xml:space="preserve"> P-value</w:t>
      </w:r>
      <w:r w:rsidR="00F85B75" w:rsidRPr="00E60359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774B63">
        <w:rPr>
          <w:rFonts w:asciiTheme="majorBidi" w:hAnsiTheme="majorBidi" w:cstheme="majorBidi"/>
          <w:sz w:val="28"/>
          <w:szCs w:val="28"/>
          <w:lang w:val="en-GB"/>
        </w:rPr>
        <w:t>was</w:t>
      </w:r>
      <w:r w:rsidR="00765F63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F85B75" w:rsidRPr="00E60359">
        <w:rPr>
          <w:rFonts w:asciiTheme="majorBidi" w:hAnsiTheme="majorBidi" w:cstheme="majorBidi"/>
          <w:sz w:val="28"/>
          <w:szCs w:val="28"/>
          <w:lang w:val="en-GB"/>
        </w:rPr>
        <w:t>&lt;0.05</w:t>
      </w:r>
      <w:r w:rsidR="00F85B75" w:rsidRPr="00E60359">
        <w:rPr>
          <w:rFonts w:asciiTheme="majorBidi" w:hAnsiTheme="majorBidi" w:cstheme="majorBidi"/>
          <w:sz w:val="28"/>
          <w:szCs w:val="28"/>
        </w:rPr>
        <w:t xml:space="preserve">. </w:t>
      </w:r>
    </w:p>
    <w:p w14:paraId="2097E6CA" w14:textId="6614F7C9" w:rsidR="00443F23" w:rsidRDefault="00301E35" w:rsidP="00B552B8">
      <w:pPr>
        <w:spacing w:before="100" w:beforeAutospacing="1" w:after="100" w:afterAutospacing="1" w:line="48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Results:</w:t>
      </w:r>
    </w:p>
    <w:p w14:paraId="447F6731" w14:textId="37E50EC9" w:rsidR="001E40A6" w:rsidRPr="00F85B75" w:rsidRDefault="00E47CD1" w:rsidP="00B552B8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Our</w:t>
      </w:r>
      <w:r w:rsidR="00632BAB" w:rsidRPr="00F85B75">
        <w:rPr>
          <w:sz w:val="28"/>
          <w:szCs w:val="28"/>
        </w:rPr>
        <w:t xml:space="preserve"> study </w:t>
      </w:r>
      <w:r w:rsidR="007517C6">
        <w:rPr>
          <w:sz w:val="28"/>
          <w:szCs w:val="28"/>
        </w:rPr>
        <w:t>targeted</w:t>
      </w:r>
      <w:r w:rsidR="00632BAB" w:rsidRPr="00F85B75">
        <w:rPr>
          <w:sz w:val="28"/>
          <w:szCs w:val="28"/>
        </w:rPr>
        <w:t xml:space="preserve"> medically controlled POAG </w:t>
      </w:r>
      <w:r>
        <w:rPr>
          <w:sz w:val="28"/>
          <w:szCs w:val="28"/>
        </w:rPr>
        <w:t xml:space="preserve">patients </w:t>
      </w:r>
      <w:r w:rsidR="007517C6">
        <w:rPr>
          <w:sz w:val="28"/>
          <w:szCs w:val="28"/>
        </w:rPr>
        <w:t>with</w:t>
      </w:r>
      <w:r w:rsidR="005345C3">
        <w:rPr>
          <w:sz w:val="28"/>
          <w:szCs w:val="28"/>
        </w:rPr>
        <w:t xml:space="preserve"> </w:t>
      </w:r>
      <w:r w:rsidR="00632BAB" w:rsidRPr="00F85B75">
        <w:rPr>
          <w:sz w:val="28"/>
          <w:szCs w:val="28"/>
        </w:rPr>
        <w:t>cataract</w:t>
      </w:r>
      <w:r w:rsidR="00E47F75">
        <w:rPr>
          <w:sz w:val="28"/>
          <w:szCs w:val="28"/>
        </w:rPr>
        <w:t>.</w:t>
      </w:r>
      <w:r w:rsidR="00D16E70">
        <w:rPr>
          <w:sz w:val="28"/>
          <w:szCs w:val="28"/>
        </w:rPr>
        <w:t xml:space="preserve"> </w:t>
      </w:r>
      <w:r w:rsidR="00632BAB" w:rsidRPr="00F85B75">
        <w:rPr>
          <w:sz w:val="28"/>
          <w:szCs w:val="28"/>
        </w:rPr>
        <w:t>F</w:t>
      </w:r>
      <w:r w:rsidR="006C1333" w:rsidRPr="00F85B75">
        <w:rPr>
          <w:sz w:val="28"/>
          <w:szCs w:val="28"/>
        </w:rPr>
        <w:t>orty-</w:t>
      </w:r>
      <w:r>
        <w:rPr>
          <w:sz w:val="28"/>
          <w:szCs w:val="28"/>
        </w:rPr>
        <w:t>four</w:t>
      </w:r>
      <w:r w:rsidR="006C1333" w:rsidRPr="00F85B75">
        <w:rPr>
          <w:sz w:val="28"/>
          <w:szCs w:val="28"/>
        </w:rPr>
        <w:t xml:space="preserve"> eyes had </w:t>
      </w:r>
      <w:proofErr w:type="spellStart"/>
      <w:r w:rsidR="00392660">
        <w:rPr>
          <w:sz w:val="28"/>
          <w:szCs w:val="28"/>
        </w:rPr>
        <w:t>phaco</w:t>
      </w:r>
      <w:proofErr w:type="spellEnd"/>
      <w:r w:rsidR="006C1333" w:rsidRPr="00F85B75">
        <w:rPr>
          <w:sz w:val="28"/>
          <w:szCs w:val="28"/>
        </w:rPr>
        <w:t xml:space="preserve"> </w:t>
      </w:r>
      <w:r w:rsidR="008846E0">
        <w:rPr>
          <w:sz w:val="28"/>
          <w:szCs w:val="28"/>
        </w:rPr>
        <w:t xml:space="preserve">surgery </w:t>
      </w:r>
      <w:r w:rsidR="006C1333" w:rsidRPr="00F85B75">
        <w:rPr>
          <w:sz w:val="28"/>
          <w:szCs w:val="28"/>
        </w:rPr>
        <w:t>alone (group P</w:t>
      </w:r>
      <w:r>
        <w:rPr>
          <w:sz w:val="28"/>
          <w:szCs w:val="28"/>
        </w:rPr>
        <w:t>h</w:t>
      </w:r>
      <w:r w:rsidR="006C1333" w:rsidRPr="00F85B75">
        <w:rPr>
          <w:sz w:val="28"/>
          <w:szCs w:val="28"/>
        </w:rPr>
        <w:t>)</w:t>
      </w:r>
      <w:r w:rsidR="00392660">
        <w:rPr>
          <w:sz w:val="28"/>
          <w:szCs w:val="28"/>
        </w:rPr>
        <w:t>,</w:t>
      </w:r>
      <w:r w:rsidR="006C1333" w:rsidRPr="00F85B75">
        <w:rPr>
          <w:sz w:val="28"/>
          <w:szCs w:val="28"/>
        </w:rPr>
        <w:t xml:space="preserve"> and thirty-</w:t>
      </w:r>
      <w:r>
        <w:rPr>
          <w:sz w:val="28"/>
          <w:szCs w:val="28"/>
        </w:rPr>
        <w:t>nine</w:t>
      </w:r>
      <w:r w:rsidR="006C1333" w:rsidRPr="00F85B75">
        <w:rPr>
          <w:sz w:val="28"/>
          <w:szCs w:val="28"/>
        </w:rPr>
        <w:t xml:space="preserve"> eyes had combined </w:t>
      </w:r>
      <w:proofErr w:type="spellStart"/>
      <w:r w:rsidR="006C1333" w:rsidRPr="00F85B75">
        <w:rPr>
          <w:sz w:val="28"/>
          <w:szCs w:val="28"/>
        </w:rPr>
        <w:t>phaco</w:t>
      </w:r>
      <w:proofErr w:type="spellEnd"/>
      <w:r w:rsidR="006C1333" w:rsidRPr="00F85B75">
        <w:rPr>
          <w:sz w:val="28"/>
          <w:szCs w:val="28"/>
        </w:rPr>
        <w:t xml:space="preserve">-goniotomy (group </w:t>
      </w:r>
      <w:proofErr w:type="spellStart"/>
      <w:r w:rsidR="006C1333" w:rsidRPr="00F85B75">
        <w:rPr>
          <w:sz w:val="28"/>
          <w:szCs w:val="28"/>
        </w:rPr>
        <w:t>P</w:t>
      </w:r>
      <w:r>
        <w:rPr>
          <w:sz w:val="28"/>
          <w:szCs w:val="28"/>
        </w:rPr>
        <w:t>h</w:t>
      </w:r>
      <w:r w:rsidR="006C1333" w:rsidRPr="00F85B75">
        <w:rPr>
          <w:sz w:val="28"/>
          <w:szCs w:val="28"/>
        </w:rPr>
        <w:t>G</w:t>
      </w:r>
      <w:proofErr w:type="spellEnd"/>
      <w:r w:rsidR="006C1333" w:rsidRPr="00F85B75">
        <w:rPr>
          <w:sz w:val="28"/>
          <w:szCs w:val="28"/>
        </w:rPr>
        <w:t>).</w:t>
      </w:r>
      <w:r w:rsidR="00D16E70">
        <w:rPr>
          <w:sz w:val="28"/>
          <w:szCs w:val="28"/>
        </w:rPr>
        <w:t xml:space="preserve"> </w:t>
      </w:r>
      <w:r w:rsidR="008846E0">
        <w:rPr>
          <w:sz w:val="28"/>
          <w:szCs w:val="28"/>
        </w:rPr>
        <w:t>F</w:t>
      </w:r>
      <w:r>
        <w:rPr>
          <w:sz w:val="28"/>
          <w:szCs w:val="28"/>
        </w:rPr>
        <w:t>ourteen</w:t>
      </w:r>
      <w:r w:rsidR="006C1333" w:rsidRPr="00F85B75">
        <w:rPr>
          <w:sz w:val="28"/>
          <w:szCs w:val="28"/>
        </w:rPr>
        <w:t xml:space="preserve"> eyes from group P</w:t>
      </w:r>
      <w:r>
        <w:rPr>
          <w:sz w:val="28"/>
          <w:szCs w:val="28"/>
        </w:rPr>
        <w:t>h</w:t>
      </w:r>
      <w:r w:rsidR="006C1333" w:rsidRPr="00F85B75">
        <w:rPr>
          <w:sz w:val="28"/>
          <w:szCs w:val="28"/>
        </w:rPr>
        <w:t xml:space="preserve"> and </w:t>
      </w:r>
      <w:r>
        <w:rPr>
          <w:sz w:val="28"/>
          <w:szCs w:val="28"/>
        </w:rPr>
        <w:t>nine</w:t>
      </w:r>
      <w:r w:rsidR="006C1333" w:rsidRPr="00F85B75">
        <w:rPr>
          <w:sz w:val="28"/>
          <w:szCs w:val="28"/>
        </w:rPr>
        <w:t xml:space="preserve"> from group </w:t>
      </w:r>
      <w:proofErr w:type="spellStart"/>
      <w:r w:rsidR="006C1333" w:rsidRPr="00F85B75">
        <w:rPr>
          <w:sz w:val="28"/>
          <w:szCs w:val="28"/>
        </w:rPr>
        <w:t>P</w:t>
      </w:r>
      <w:r>
        <w:rPr>
          <w:sz w:val="28"/>
          <w:szCs w:val="28"/>
        </w:rPr>
        <w:t>h</w:t>
      </w:r>
      <w:r w:rsidR="006C1333" w:rsidRPr="00F85B75">
        <w:rPr>
          <w:sz w:val="28"/>
          <w:szCs w:val="28"/>
        </w:rPr>
        <w:t>G</w:t>
      </w:r>
      <w:proofErr w:type="spellEnd"/>
      <w:r w:rsidR="006C1333" w:rsidRPr="00F85B75">
        <w:rPr>
          <w:sz w:val="28"/>
          <w:szCs w:val="28"/>
        </w:rPr>
        <w:t xml:space="preserve"> </w:t>
      </w:r>
      <w:r w:rsidR="008846E0">
        <w:rPr>
          <w:sz w:val="28"/>
          <w:szCs w:val="28"/>
        </w:rPr>
        <w:t xml:space="preserve">were excluded </w:t>
      </w:r>
      <w:r>
        <w:rPr>
          <w:sz w:val="28"/>
          <w:szCs w:val="28"/>
        </w:rPr>
        <w:t>as</w:t>
      </w:r>
      <w:r w:rsidR="006C1333" w:rsidRPr="00F85B75">
        <w:rPr>
          <w:sz w:val="28"/>
          <w:szCs w:val="28"/>
        </w:rPr>
        <w:t xml:space="preserve"> they </w:t>
      </w:r>
      <w:r w:rsidR="00B5450A">
        <w:rPr>
          <w:sz w:val="28"/>
          <w:szCs w:val="28"/>
        </w:rPr>
        <w:t>failed to</w:t>
      </w:r>
      <w:r w:rsidR="006C1333" w:rsidRPr="00F85B75">
        <w:rPr>
          <w:sz w:val="28"/>
          <w:szCs w:val="28"/>
        </w:rPr>
        <w:t xml:space="preserve"> complete the </w:t>
      </w:r>
      <w:r>
        <w:rPr>
          <w:sz w:val="28"/>
          <w:szCs w:val="28"/>
        </w:rPr>
        <w:t>designated 24</w:t>
      </w:r>
      <w:r w:rsidR="001E40A6" w:rsidRPr="00F85B75">
        <w:rPr>
          <w:sz w:val="28"/>
          <w:szCs w:val="28"/>
        </w:rPr>
        <w:t>-month</w:t>
      </w:r>
      <w:r w:rsidR="006C1333" w:rsidRPr="00F85B75">
        <w:rPr>
          <w:sz w:val="28"/>
          <w:szCs w:val="28"/>
        </w:rPr>
        <w:t xml:space="preserve"> follow-up.</w:t>
      </w:r>
      <w:r w:rsidR="00D16E70">
        <w:rPr>
          <w:sz w:val="28"/>
          <w:szCs w:val="28"/>
        </w:rPr>
        <w:t xml:space="preserve"> </w:t>
      </w:r>
      <w:r>
        <w:rPr>
          <w:sz w:val="28"/>
          <w:szCs w:val="28"/>
        </w:rPr>
        <w:t>Our study ended up with</w:t>
      </w:r>
      <w:r w:rsidR="00AC1510" w:rsidRPr="00F85B75">
        <w:rPr>
          <w:sz w:val="28"/>
          <w:szCs w:val="28"/>
        </w:rPr>
        <w:t xml:space="preserve"> thirty eyes in group</w:t>
      </w:r>
      <w:r>
        <w:rPr>
          <w:sz w:val="28"/>
          <w:szCs w:val="28"/>
        </w:rPr>
        <w:t xml:space="preserve"> Ph and thirty in group </w:t>
      </w:r>
      <w:proofErr w:type="spellStart"/>
      <w:r>
        <w:rPr>
          <w:sz w:val="28"/>
          <w:szCs w:val="28"/>
        </w:rPr>
        <w:t>PhG</w:t>
      </w:r>
      <w:proofErr w:type="spellEnd"/>
      <w:r w:rsidR="00AC1510" w:rsidRPr="00F85B75">
        <w:rPr>
          <w:sz w:val="28"/>
          <w:szCs w:val="28"/>
        </w:rPr>
        <w:t>.</w:t>
      </w:r>
      <w:r w:rsidR="00D16E70">
        <w:rPr>
          <w:sz w:val="28"/>
          <w:szCs w:val="28"/>
        </w:rPr>
        <w:t xml:space="preserve"> </w:t>
      </w:r>
      <w:r>
        <w:rPr>
          <w:sz w:val="28"/>
          <w:szCs w:val="28"/>
        </w:rPr>
        <w:t>We</w:t>
      </w:r>
      <w:r w:rsidR="00C713F8" w:rsidRPr="00F85B75">
        <w:rPr>
          <w:sz w:val="28"/>
          <w:szCs w:val="28"/>
        </w:rPr>
        <w:t xml:space="preserve"> further divided</w:t>
      </w:r>
      <w:r>
        <w:rPr>
          <w:sz w:val="28"/>
          <w:szCs w:val="28"/>
        </w:rPr>
        <w:t xml:space="preserve"> both groups</w:t>
      </w:r>
      <w:r w:rsidR="00C713F8" w:rsidRPr="00F85B75">
        <w:rPr>
          <w:sz w:val="28"/>
          <w:szCs w:val="28"/>
        </w:rPr>
        <w:t xml:space="preserve"> into severe</w:t>
      </w:r>
      <w:r>
        <w:rPr>
          <w:sz w:val="28"/>
          <w:szCs w:val="28"/>
        </w:rPr>
        <w:t xml:space="preserve"> and moderate</w:t>
      </w:r>
      <w:r w:rsidR="00C713F8" w:rsidRPr="00F85B75">
        <w:rPr>
          <w:sz w:val="28"/>
          <w:szCs w:val="28"/>
        </w:rPr>
        <w:t xml:space="preserve"> </w:t>
      </w:r>
      <w:r>
        <w:rPr>
          <w:sz w:val="28"/>
          <w:szCs w:val="28"/>
        </w:rPr>
        <w:t>types</w:t>
      </w:r>
      <w:r w:rsidR="00C713F8" w:rsidRPr="00F85B75">
        <w:rPr>
          <w:sz w:val="28"/>
          <w:szCs w:val="28"/>
        </w:rPr>
        <w:t>.</w:t>
      </w:r>
      <w:r w:rsidR="00D16E70">
        <w:rPr>
          <w:sz w:val="28"/>
          <w:szCs w:val="28"/>
        </w:rPr>
        <w:t xml:space="preserve"> </w:t>
      </w:r>
      <w:r w:rsidR="001E40A6" w:rsidRPr="00F85B75">
        <w:rPr>
          <w:b/>
          <w:bCs/>
          <w:sz w:val="28"/>
          <w:szCs w:val="28"/>
        </w:rPr>
        <w:t>Table (1)</w:t>
      </w:r>
      <w:r w:rsidR="001E40A6" w:rsidRPr="00F85B75">
        <w:rPr>
          <w:sz w:val="28"/>
          <w:szCs w:val="28"/>
        </w:rPr>
        <w:t xml:space="preserve"> </w:t>
      </w:r>
      <w:r w:rsidR="003F3C25">
        <w:rPr>
          <w:sz w:val="28"/>
          <w:szCs w:val="28"/>
        </w:rPr>
        <w:lastRenderedPageBreak/>
        <w:t>illustrates</w:t>
      </w:r>
      <w:r w:rsidR="001E40A6" w:rsidRPr="00F85B75">
        <w:rPr>
          <w:sz w:val="28"/>
          <w:szCs w:val="28"/>
        </w:rPr>
        <w:t xml:space="preserve"> the </w:t>
      </w:r>
      <w:r w:rsidR="00122411">
        <w:rPr>
          <w:sz w:val="28"/>
          <w:szCs w:val="28"/>
        </w:rPr>
        <w:t>age, sex, and laterality</w:t>
      </w:r>
      <w:r w:rsidR="001E40A6" w:rsidRPr="00F85B75">
        <w:rPr>
          <w:sz w:val="28"/>
          <w:szCs w:val="28"/>
        </w:rPr>
        <w:t xml:space="preserve"> </w:t>
      </w:r>
      <w:r w:rsidR="00A8749F">
        <w:rPr>
          <w:sz w:val="28"/>
          <w:szCs w:val="28"/>
        </w:rPr>
        <w:t>of</w:t>
      </w:r>
      <w:r w:rsidR="001E40A6" w:rsidRPr="00F85B75">
        <w:rPr>
          <w:sz w:val="28"/>
          <w:szCs w:val="28"/>
        </w:rPr>
        <w:t xml:space="preserve"> the study groups</w:t>
      </w:r>
      <w:r>
        <w:rPr>
          <w:sz w:val="28"/>
          <w:szCs w:val="28"/>
        </w:rPr>
        <w:t xml:space="preserve"> with no</w:t>
      </w:r>
      <w:r w:rsidR="001E40A6" w:rsidRPr="00F85B75">
        <w:rPr>
          <w:sz w:val="28"/>
          <w:szCs w:val="28"/>
        </w:rPr>
        <w:t xml:space="preserve"> statistically significant differences</w:t>
      </w:r>
      <w:r w:rsidR="003E4CB8" w:rsidRPr="00F85B75">
        <w:rPr>
          <w:sz w:val="28"/>
          <w:szCs w:val="28"/>
        </w:rPr>
        <w:t>.</w:t>
      </w:r>
      <w:r w:rsidR="00D16E70">
        <w:rPr>
          <w:sz w:val="28"/>
          <w:szCs w:val="28"/>
        </w:rPr>
        <w:t xml:space="preserve"> </w:t>
      </w:r>
      <w:r w:rsidR="00B5450A">
        <w:rPr>
          <w:sz w:val="28"/>
          <w:szCs w:val="28"/>
        </w:rPr>
        <w:t xml:space="preserve">The mean age of patients in the study groups </w:t>
      </w:r>
      <w:r w:rsidR="00B5450A" w:rsidRPr="00B5450A">
        <w:rPr>
          <w:sz w:val="28"/>
          <w:szCs w:val="28"/>
        </w:rPr>
        <w:t>±</w:t>
      </w:r>
      <w:r w:rsidR="00B5450A">
        <w:rPr>
          <w:sz w:val="28"/>
          <w:szCs w:val="28"/>
        </w:rPr>
        <w:t xml:space="preserve"> SD were </w:t>
      </w:r>
      <w:r w:rsidR="00B5450A" w:rsidRPr="00B5450A">
        <w:rPr>
          <w:sz w:val="28"/>
          <w:szCs w:val="28"/>
        </w:rPr>
        <w:t>60.8±4.3</w:t>
      </w:r>
      <w:r w:rsidR="00B5450A">
        <w:rPr>
          <w:sz w:val="28"/>
          <w:szCs w:val="28"/>
        </w:rPr>
        <w:t xml:space="preserve">, </w:t>
      </w:r>
      <w:r w:rsidR="00B5450A" w:rsidRPr="00B5450A">
        <w:rPr>
          <w:sz w:val="28"/>
          <w:szCs w:val="28"/>
        </w:rPr>
        <w:t>62.8±5.4</w:t>
      </w:r>
      <w:r w:rsidR="00B5450A">
        <w:rPr>
          <w:sz w:val="28"/>
          <w:szCs w:val="28"/>
        </w:rPr>
        <w:t xml:space="preserve">, </w:t>
      </w:r>
      <w:r w:rsidR="00B5450A" w:rsidRPr="00B5450A">
        <w:rPr>
          <w:sz w:val="28"/>
          <w:szCs w:val="28"/>
        </w:rPr>
        <w:t>61.86±4.2</w:t>
      </w:r>
      <w:r w:rsidR="00B5450A">
        <w:rPr>
          <w:sz w:val="28"/>
          <w:szCs w:val="28"/>
        </w:rPr>
        <w:t xml:space="preserve">, and </w:t>
      </w:r>
      <w:r w:rsidR="00B5450A" w:rsidRPr="00B5450A">
        <w:rPr>
          <w:sz w:val="28"/>
          <w:szCs w:val="28"/>
        </w:rPr>
        <w:t>62.533±5.3</w:t>
      </w:r>
      <w:r w:rsidR="00B5450A">
        <w:rPr>
          <w:sz w:val="28"/>
          <w:szCs w:val="28"/>
        </w:rPr>
        <w:t xml:space="preserve"> years in groups </w:t>
      </w:r>
      <w:proofErr w:type="spellStart"/>
      <w:r w:rsidR="00B5450A">
        <w:rPr>
          <w:sz w:val="28"/>
          <w:szCs w:val="28"/>
        </w:rPr>
        <w:t>P</w:t>
      </w:r>
      <w:r w:rsidR="001663B3">
        <w:rPr>
          <w:sz w:val="28"/>
          <w:szCs w:val="28"/>
        </w:rPr>
        <w:t>h</w:t>
      </w:r>
      <w:r w:rsidR="00E70650">
        <w:rPr>
          <w:sz w:val="28"/>
          <w:szCs w:val="28"/>
        </w:rPr>
        <w:t>M</w:t>
      </w:r>
      <w:proofErr w:type="spellEnd"/>
      <w:r w:rsidR="00B5450A">
        <w:rPr>
          <w:sz w:val="28"/>
          <w:szCs w:val="28"/>
        </w:rPr>
        <w:t xml:space="preserve">, </w:t>
      </w:r>
      <w:proofErr w:type="spellStart"/>
      <w:r w:rsidR="00B5450A">
        <w:rPr>
          <w:sz w:val="28"/>
          <w:szCs w:val="28"/>
        </w:rPr>
        <w:t>P</w:t>
      </w:r>
      <w:r w:rsidR="001663B3">
        <w:rPr>
          <w:sz w:val="28"/>
          <w:szCs w:val="28"/>
        </w:rPr>
        <w:t>h</w:t>
      </w:r>
      <w:r w:rsidR="00B5450A">
        <w:rPr>
          <w:sz w:val="28"/>
          <w:szCs w:val="28"/>
        </w:rPr>
        <w:t>G</w:t>
      </w:r>
      <w:r w:rsidR="00E70650">
        <w:rPr>
          <w:sz w:val="28"/>
          <w:szCs w:val="28"/>
        </w:rPr>
        <w:t>M</w:t>
      </w:r>
      <w:proofErr w:type="spellEnd"/>
      <w:r w:rsidR="00B5450A">
        <w:rPr>
          <w:sz w:val="28"/>
          <w:szCs w:val="28"/>
        </w:rPr>
        <w:t xml:space="preserve">, </w:t>
      </w:r>
      <w:proofErr w:type="spellStart"/>
      <w:r w:rsidR="00B5450A">
        <w:rPr>
          <w:sz w:val="28"/>
          <w:szCs w:val="28"/>
        </w:rPr>
        <w:t>P</w:t>
      </w:r>
      <w:r w:rsidR="001663B3">
        <w:rPr>
          <w:sz w:val="28"/>
          <w:szCs w:val="28"/>
        </w:rPr>
        <w:t>h</w:t>
      </w:r>
      <w:r w:rsidR="00B5450A">
        <w:rPr>
          <w:sz w:val="28"/>
          <w:szCs w:val="28"/>
        </w:rPr>
        <w:t>S</w:t>
      </w:r>
      <w:proofErr w:type="spellEnd"/>
      <w:r w:rsidR="00B5450A">
        <w:rPr>
          <w:sz w:val="28"/>
          <w:szCs w:val="28"/>
        </w:rPr>
        <w:t xml:space="preserve">, and </w:t>
      </w:r>
      <w:proofErr w:type="spellStart"/>
      <w:r w:rsidR="00B5450A">
        <w:rPr>
          <w:sz w:val="28"/>
          <w:szCs w:val="28"/>
        </w:rPr>
        <w:t>P</w:t>
      </w:r>
      <w:r w:rsidR="001663B3">
        <w:rPr>
          <w:sz w:val="28"/>
          <w:szCs w:val="28"/>
        </w:rPr>
        <w:t>h</w:t>
      </w:r>
      <w:r w:rsidR="00B5450A">
        <w:rPr>
          <w:sz w:val="28"/>
          <w:szCs w:val="28"/>
        </w:rPr>
        <w:t>G</w:t>
      </w:r>
      <w:r w:rsidR="00E70650">
        <w:rPr>
          <w:sz w:val="28"/>
          <w:szCs w:val="28"/>
        </w:rPr>
        <w:t>S</w:t>
      </w:r>
      <w:proofErr w:type="spellEnd"/>
      <w:r w:rsidR="00941EB0">
        <w:rPr>
          <w:sz w:val="28"/>
          <w:szCs w:val="28"/>
        </w:rPr>
        <w:t>,</w:t>
      </w:r>
      <w:r w:rsidR="00B5450A">
        <w:rPr>
          <w:sz w:val="28"/>
          <w:szCs w:val="28"/>
        </w:rPr>
        <w:t xml:space="preserve"> respectively.</w:t>
      </w:r>
    </w:p>
    <w:p w14:paraId="4B7BBD2C" w14:textId="65151880" w:rsidR="00BF2C28" w:rsidRDefault="00BF2C28" w:rsidP="00B552B8">
      <w:pPr>
        <w:spacing w:line="480" w:lineRule="auto"/>
        <w:jc w:val="both"/>
      </w:pPr>
    </w:p>
    <w:p w14:paraId="02EA42DE" w14:textId="7D7A78E6" w:rsidR="00CF24AB" w:rsidRPr="00CC5749" w:rsidRDefault="001663B3" w:rsidP="00CC5749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We</w:t>
      </w:r>
      <w:r w:rsidR="003F1F2E" w:rsidRPr="00F85B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recorded a </w:t>
      </w:r>
      <w:r w:rsidR="00392660">
        <w:rPr>
          <w:sz w:val="28"/>
          <w:szCs w:val="28"/>
        </w:rPr>
        <w:t>non-medicated</w:t>
      </w:r>
      <w:r w:rsidR="003F1F2E" w:rsidRPr="00F85B75">
        <w:rPr>
          <w:sz w:val="28"/>
          <w:szCs w:val="28"/>
        </w:rPr>
        <w:t xml:space="preserve"> </w:t>
      </w:r>
      <w:r w:rsidR="00122411">
        <w:rPr>
          <w:sz w:val="28"/>
          <w:szCs w:val="28"/>
        </w:rPr>
        <w:t xml:space="preserve">preoperative </w:t>
      </w:r>
      <w:r w:rsidR="003F1F2E" w:rsidRPr="00F85B75">
        <w:rPr>
          <w:sz w:val="28"/>
          <w:szCs w:val="28"/>
        </w:rPr>
        <w:t xml:space="preserve">IOP </w:t>
      </w:r>
      <w:r>
        <w:rPr>
          <w:sz w:val="28"/>
          <w:szCs w:val="28"/>
        </w:rPr>
        <w:t>of</w:t>
      </w:r>
      <w:r w:rsidR="003F1F2E" w:rsidRPr="00F85B75">
        <w:rPr>
          <w:sz w:val="28"/>
          <w:szCs w:val="28"/>
        </w:rPr>
        <w:t xml:space="preserve"> </w:t>
      </w:r>
      <w:r w:rsidR="003F3C25" w:rsidRPr="00F85B75">
        <w:rPr>
          <w:sz w:val="28"/>
          <w:szCs w:val="28"/>
        </w:rPr>
        <w:t>33</w:t>
      </w:r>
      <w:r w:rsidR="003F3C25" w:rsidRPr="00F85B75">
        <w:rPr>
          <w:rFonts w:asciiTheme="majorBidi" w:hAnsiTheme="majorBidi" w:cstheme="majorBidi"/>
          <w:sz w:val="28"/>
          <w:szCs w:val="28"/>
        </w:rPr>
        <w:t xml:space="preserve">±1.9 </w:t>
      </w:r>
      <w:r w:rsidR="008846E0">
        <w:rPr>
          <w:rFonts w:asciiTheme="majorBidi" w:hAnsiTheme="majorBidi" w:cstheme="majorBidi"/>
          <w:sz w:val="28"/>
          <w:szCs w:val="28"/>
        </w:rPr>
        <w:t xml:space="preserve">and </w:t>
      </w:r>
      <w:r w:rsidR="008846E0" w:rsidRPr="00F85B75">
        <w:rPr>
          <w:sz w:val="28"/>
          <w:szCs w:val="28"/>
        </w:rPr>
        <w:t>31</w:t>
      </w:r>
      <w:r w:rsidR="008846E0" w:rsidRPr="00F85B75">
        <w:rPr>
          <w:rFonts w:asciiTheme="majorBidi" w:hAnsiTheme="majorBidi" w:cstheme="majorBidi"/>
          <w:sz w:val="28"/>
          <w:szCs w:val="28"/>
        </w:rPr>
        <w:t>±0.9</w:t>
      </w:r>
      <w:r w:rsidRPr="00F85B75">
        <w:rPr>
          <w:rFonts w:asciiTheme="majorBidi" w:hAnsiTheme="majorBidi" w:cstheme="majorBidi"/>
          <w:sz w:val="28"/>
          <w:szCs w:val="28"/>
        </w:rPr>
        <w:t xml:space="preserve"> </w:t>
      </w:r>
      <w:r w:rsidR="0031147A" w:rsidRPr="00F85B75">
        <w:rPr>
          <w:rFonts w:asciiTheme="majorBidi" w:hAnsiTheme="majorBidi" w:cstheme="majorBidi"/>
          <w:sz w:val="28"/>
          <w:szCs w:val="28"/>
        </w:rPr>
        <w:t>mmH</w:t>
      </w:r>
      <w:r w:rsidR="0031147A">
        <w:rPr>
          <w:rFonts w:asciiTheme="majorBidi" w:hAnsiTheme="majorBidi" w:cstheme="majorBidi"/>
          <w:sz w:val="28"/>
          <w:szCs w:val="28"/>
        </w:rPr>
        <w:t>g</w:t>
      </w:r>
      <w:r w:rsidR="0031147A" w:rsidRPr="00F85B75">
        <w:rPr>
          <w:rFonts w:asciiTheme="majorBidi" w:hAnsiTheme="majorBidi" w:cstheme="majorBidi"/>
          <w:sz w:val="28"/>
          <w:szCs w:val="28"/>
        </w:rPr>
        <w:t xml:space="preserve"> </w:t>
      </w:r>
      <w:r w:rsidR="003F1F2E" w:rsidRPr="00F85B75">
        <w:rPr>
          <w:rFonts w:asciiTheme="majorBidi" w:hAnsiTheme="majorBidi" w:cstheme="majorBidi"/>
          <w:sz w:val="28"/>
          <w:szCs w:val="28"/>
        </w:rPr>
        <w:t>in</w:t>
      </w:r>
      <w:r w:rsidR="008B463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F3C25">
        <w:rPr>
          <w:rFonts w:asciiTheme="majorBidi" w:hAnsiTheme="majorBidi" w:cstheme="majorBidi"/>
          <w:sz w:val="28"/>
          <w:szCs w:val="28"/>
        </w:rPr>
        <w:t>PhM</w:t>
      </w:r>
      <w:proofErr w:type="spellEnd"/>
      <w:r w:rsidR="003F3C25">
        <w:rPr>
          <w:rFonts w:asciiTheme="majorBidi" w:hAnsiTheme="majorBidi" w:cstheme="majorBidi"/>
          <w:sz w:val="28"/>
          <w:szCs w:val="28"/>
        </w:rPr>
        <w:t xml:space="preserve"> </w:t>
      </w:r>
      <w:r w:rsidR="008846E0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="008846E0">
        <w:rPr>
          <w:rFonts w:asciiTheme="majorBidi" w:hAnsiTheme="majorBidi" w:cstheme="majorBidi"/>
          <w:sz w:val="28"/>
          <w:szCs w:val="28"/>
        </w:rPr>
        <w:t>PhGM</w:t>
      </w:r>
      <w:proofErr w:type="spellEnd"/>
      <w:r w:rsidR="008846E0">
        <w:rPr>
          <w:rFonts w:asciiTheme="majorBidi" w:hAnsiTheme="majorBidi" w:cstheme="majorBidi"/>
          <w:sz w:val="28"/>
          <w:szCs w:val="28"/>
        </w:rPr>
        <w:t xml:space="preserve"> </w:t>
      </w:r>
      <w:r w:rsidR="008B463D">
        <w:rPr>
          <w:rFonts w:asciiTheme="majorBidi" w:hAnsiTheme="majorBidi" w:cstheme="majorBidi"/>
          <w:sz w:val="28"/>
          <w:szCs w:val="28"/>
        </w:rPr>
        <w:t>groups</w:t>
      </w:r>
      <w:r w:rsidR="00941EB0">
        <w:rPr>
          <w:rFonts w:asciiTheme="majorBidi" w:hAnsiTheme="majorBidi" w:cstheme="majorBidi"/>
          <w:sz w:val="28"/>
          <w:szCs w:val="28"/>
        </w:rPr>
        <w:t>,</w:t>
      </w:r>
      <w:r w:rsidR="008B463D">
        <w:rPr>
          <w:rFonts w:asciiTheme="majorBidi" w:hAnsiTheme="majorBidi" w:cstheme="majorBidi"/>
          <w:sz w:val="28"/>
          <w:szCs w:val="28"/>
        </w:rPr>
        <w:t xml:space="preserve"> respectively</w:t>
      </w:r>
      <w:r w:rsidR="00392660">
        <w:rPr>
          <w:rFonts w:asciiTheme="majorBidi" w:hAnsiTheme="majorBidi" w:cstheme="majorBidi"/>
          <w:sz w:val="28"/>
          <w:szCs w:val="28"/>
        </w:rPr>
        <w:t>,</w:t>
      </w:r>
      <w:r w:rsidR="003F1F2E" w:rsidRPr="00F85B7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that showed no</w:t>
      </w:r>
      <w:r w:rsidR="003F1F2E" w:rsidRPr="00F85B75">
        <w:rPr>
          <w:rFonts w:asciiTheme="majorBidi" w:hAnsiTheme="majorBidi" w:cstheme="majorBidi"/>
          <w:sz w:val="28"/>
          <w:szCs w:val="28"/>
        </w:rPr>
        <w:t xml:space="preserve"> significant difference (P=</w:t>
      </w:r>
      <w:r w:rsidR="003F1F2E" w:rsidRPr="00F85B75">
        <w:rPr>
          <w:sz w:val="28"/>
          <w:szCs w:val="28"/>
        </w:rPr>
        <w:t xml:space="preserve">0.3496 </w:t>
      </w:r>
      <w:r w:rsidR="003F1F2E" w:rsidRPr="00F85B75">
        <w:rPr>
          <w:b/>
          <w:bCs/>
          <w:sz w:val="28"/>
          <w:szCs w:val="28"/>
        </w:rPr>
        <w:t>table 2</w:t>
      </w:r>
      <w:r w:rsidR="003F1F2E" w:rsidRPr="00F85B75">
        <w:rPr>
          <w:sz w:val="28"/>
          <w:szCs w:val="28"/>
        </w:rPr>
        <w:t>)</w:t>
      </w:r>
      <w:r w:rsidR="00681D02">
        <w:rPr>
          <w:sz w:val="28"/>
          <w:szCs w:val="28"/>
        </w:rPr>
        <w:t>.</w:t>
      </w:r>
      <w:r w:rsidR="00D16E70">
        <w:rPr>
          <w:sz w:val="28"/>
          <w:szCs w:val="28"/>
        </w:rPr>
        <w:t xml:space="preserve"> </w:t>
      </w:r>
      <w:r w:rsidR="008846E0">
        <w:rPr>
          <w:sz w:val="28"/>
          <w:szCs w:val="28"/>
        </w:rPr>
        <w:t>In addition</w:t>
      </w:r>
      <w:r w:rsidR="00681D02">
        <w:rPr>
          <w:sz w:val="28"/>
          <w:szCs w:val="28"/>
        </w:rPr>
        <w:t>,</w:t>
      </w:r>
      <w:r w:rsidR="003F1F2E" w:rsidRPr="00F85B75">
        <w:rPr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 w:rsidRPr="00F85B75">
        <w:rPr>
          <w:sz w:val="28"/>
          <w:szCs w:val="28"/>
        </w:rPr>
        <w:t xml:space="preserve"> </w:t>
      </w:r>
      <w:r>
        <w:rPr>
          <w:sz w:val="28"/>
          <w:szCs w:val="28"/>
        </w:rPr>
        <w:t>preoperative</w:t>
      </w:r>
      <w:r w:rsidRPr="00F85B75">
        <w:rPr>
          <w:sz w:val="28"/>
          <w:szCs w:val="28"/>
        </w:rPr>
        <w:t xml:space="preserve"> medicated IOP </w:t>
      </w:r>
      <w:r>
        <w:rPr>
          <w:sz w:val="28"/>
          <w:szCs w:val="28"/>
        </w:rPr>
        <w:t xml:space="preserve">showed </w:t>
      </w:r>
      <w:r w:rsidR="00050CC7">
        <w:rPr>
          <w:sz w:val="28"/>
          <w:szCs w:val="28"/>
        </w:rPr>
        <w:t>no</w:t>
      </w:r>
      <w:r>
        <w:rPr>
          <w:sz w:val="28"/>
          <w:szCs w:val="28"/>
        </w:rPr>
        <w:t xml:space="preserve"> </w:t>
      </w:r>
      <w:r w:rsidR="00681D02">
        <w:rPr>
          <w:sz w:val="28"/>
          <w:szCs w:val="28"/>
        </w:rPr>
        <w:t xml:space="preserve">statistically </w:t>
      </w:r>
      <w:r w:rsidR="003F1F2E" w:rsidRPr="00F85B75">
        <w:rPr>
          <w:sz w:val="28"/>
          <w:szCs w:val="28"/>
        </w:rPr>
        <w:t>significant difference</w:t>
      </w:r>
      <w:r w:rsidR="00681D02">
        <w:rPr>
          <w:sz w:val="28"/>
          <w:szCs w:val="28"/>
        </w:rPr>
        <w:t>s</w:t>
      </w:r>
      <w:r w:rsidR="003F1F2E" w:rsidRPr="00F85B75">
        <w:rPr>
          <w:sz w:val="28"/>
          <w:szCs w:val="28"/>
        </w:rPr>
        <w:t xml:space="preserve"> (P=0.3959 </w:t>
      </w:r>
      <w:r w:rsidR="003F1F2E" w:rsidRPr="00F85B75">
        <w:rPr>
          <w:b/>
          <w:bCs/>
          <w:sz w:val="28"/>
          <w:szCs w:val="28"/>
        </w:rPr>
        <w:t>table 2</w:t>
      </w:r>
      <w:r w:rsidR="003F1F2E" w:rsidRPr="00F85B75">
        <w:rPr>
          <w:sz w:val="28"/>
          <w:szCs w:val="28"/>
        </w:rPr>
        <w:t xml:space="preserve">) </w:t>
      </w:r>
      <w:r>
        <w:rPr>
          <w:sz w:val="28"/>
          <w:szCs w:val="28"/>
        </w:rPr>
        <w:t>as well as</w:t>
      </w:r>
      <w:r w:rsidR="003F1F2E" w:rsidRPr="00F85B75">
        <w:rPr>
          <w:sz w:val="28"/>
          <w:szCs w:val="28"/>
        </w:rPr>
        <w:t xml:space="preserve"> </w:t>
      </w:r>
      <w:r w:rsidR="005C280C">
        <w:rPr>
          <w:sz w:val="28"/>
          <w:szCs w:val="28"/>
        </w:rPr>
        <w:t xml:space="preserve">the </w:t>
      </w:r>
      <w:r w:rsidR="00B951FA" w:rsidRPr="00F85B75">
        <w:rPr>
          <w:sz w:val="28"/>
          <w:szCs w:val="28"/>
        </w:rPr>
        <w:t xml:space="preserve">number of </w:t>
      </w:r>
      <w:r w:rsidR="008846E0">
        <w:rPr>
          <w:sz w:val="28"/>
          <w:szCs w:val="28"/>
        </w:rPr>
        <w:t xml:space="preserve">preoperative </w:t>
      </w:r>
      <w:r w:rsidR="00B951FA" w:rsidRPr="00F85B75">
        <w:rPr>
          <w:sz w:val="28"/>
          <w:szCs w:val="28"/>
        </w:rPr>
        <w:t xml:space="preserve">IOP lowering </w:t>
      </w:r>
      <w:r>
        <w:rPr>
          <w:sz w:val="28"/>
          <w:szCs w:val="28"/>
        </w:rPr>
        <w:t>medications</w:t>
      </w:r>
      <w:r w:rsidR="00050CC7">
        <w:rPr>
          <w:sz w:val="28"/>
          <w:szCs w:val="28"/>
        </w:rPr>
        <w:t xml:space="preserve"> </w:t>
      </w:r>
      <w:r w:rsidR="00B951FA" w:rsidRPr="00F85B75">
        <w:rPr>
          <w:sz w:val="28"/>
          <w:szCs w:val="28"/>
        </w:rPr>
        <w:t>(P=0.1032)</w:t>
      </w:r>
      <w:r w:rsidR="00681D02">
        <w:rPr>
          <w:sz w:val="28"/>
          <w:szCs w:val="28"/>
        </w:rPr>
        <w:t>.</w:t>
      </w:r>
    </w:p>
    <w:p w14:paraId="6D7FB9FB" w14:textId="75A85C97" w:rsidR="00CF24AB" w:rsidRDefault="00CF24AB" w:rsidP="00B552B8">
      <w:pPr>
        <w:spacing w:line="480" w:lineRule="auto"/>
        <w:jc w:val="both"/>
      </w:pPr>
    </w:p>
    <w:p w14:paraId="55026655" w14:textId="62318E28" w:rsidR="00CF24AB" w:rsidRPr="00F85B75" w:rsidRDefault="003F3C25" w:rsidP="00B552B8">
      <w:pPr>
        <w:spacing w:line="480" w:lineRule="auto"/>
        <w:ind w:firstLine="567"/>
        <w:jc w:val="both"/>
        <w:rPr>
          <w:sz w:val="28"/>
          <w:szCs w:val="28"/>
        </w:rPr>
      </w:pPr>
      <w:r w:rsidRPr="00F85B75">
        <w:rPr>
          <w:sz w:val="28"/>
          <w:szCs w:val="28"/>
        </w:rPr>
        <w:t>Observing</w:t>
      </w:r>
      <w:r w:rsidR="00B951FA" w:rsidRPr="00F85B75">
        <w:rPr>
          <w:sz w:val="28"/>
          <w:szCs w:val="28"/>
        </w:rPr>
        <w:t xml:space="preserve"> </w:t>
      </w:r>
      <w:r w:rsidR="008B463D">
        <w:rPr>
          <w:sz w:val="28"/>
          <w:szCs w:val="28"/>
        </w:rPr>
        <w:t>groups</w:t>
      </w:r>
      <w:r w:rsidR="0068185E">
        <w:rPr>
          <w:sz w:val="28"/>
          <w:szCs w:val="28"/>
        </w:rPr>
        <w:t xml:space="preserve"> </w:t>
      </w:r>
      <w:proofErr w:type="spellStart"/>
      <w:r w:rsidR="0068185E">
        <w:rPr>
          <w:sz w:val="28"/>
          <w:szCs w:val="28"/>
        </w:rPr>
        <w:t>P</w:t>
      </w:r>
      <w:r w:rsidR="001663B3">
        <w:rPr>
          <w:sz w:val="28"/>
          <w:szCs w:val="28"/>
        </w:rPr>
        <w:t>h</w:t>
      </w:r>
      <w:r w:rsidR="0068185E">
        <w:rPr>
          <w:sz w:val="28"/>
          <w:szCs w:val="28"/>
        </w:rPr>
        <w:t>Gs</w:t>
      </w:r>
      <w:proofErr w:type="spellEnd"/>
      <w:r w:rsidR="001663B3">
        <w:rPr>
          <w:sz w:val="28"/>
          <w:szCs w:val="28"/>
        </w:rPr>
        <w:t xml:space="preserve"> and </w:t>
      </w:r>
      <w:proofErr w:type="spellStart"/>
      <w:r w:rsidR="001663B3">
        <w:rPr>
          <w:sz w:val="28"/>
          <w:szCs w:val="28"/>
        </w:rPr>
        <w:t>PhS</w:t>
      </w:r>
      <w:proofErr w:type="spellEnd"/>
      <w:r w:rsidR="008B463D">
        <w:rPr>
          <w:sz w:val="28"/>
          <w:szCs w:val="28"/>
        </w:rPr>
        <w:t>,</w:t>
      </w:r>
      <w:r w:rsidR="00B951FA" w:rsidRPr="00F85B75">
        <w:rPr>
          <w:sz w:val="28"/>
          <w:szCs w:val="28"/>
        </w:rPr>
        <w:t xml:space="preserve"> </w:t>
      </w:r>
      <w:r w:rsidR="001663B3">
        <w:rPr>
          <w:sz w:val="28"/>
          <w:szCs w:val="28"/>
        </w:rPr>
        <w:t>we recorded a</w:t>
      </w:r>
      <w:r w:rsidR="00B951FA" w:rsidRPr="00F85B75">
        <w:rPr>
          <w:sz w:val="28"/>
          <w:szCs w:val="28"/>
        </w:rPr>
        <w:t xml:space="preserve"> </w:t>
      </w:r>
      <w:r w:rsidR="00564015">
        <w:rPr>
          <w:sz w:val="28"/>
          <w:szCs w:val="28"/>
        </w:rPr>
        <w:t>preoperative</w:t>
      </w:r>
      <w:r w:rsidR="00B951FA" w:rsidRPr="00F85B75">
        <w:rPr>
          <w:sz w:val="28"/>
          <w:szCs w:val="28"/>
        </w:rPr>
        <w:t xml:space="preserve"> </w:t>
      </w:r>
      <w:r w:rsidR="00392660">
        <w:rPr>
          <w:sz w:val="28"/>
          <w:szCs w:val="28"/>
        </w:rPr>
        <w:t>non-medicated</w:t>
      </w:r>
      <w:r w:rsidR="00B951FA" w:rsidRPr="00F85B75">
        <w:rPr>
          <w:sz w:val="28"/>
          <w:szCs w:val="28"/>
        </w:rPr>
        <w:t xml:space="preserve"> IOP </w:t>
      </w:r>
      <w:r w:rsidR="001663B3">
        <w:rPr>
          <w:sz w:val="28"/>
          <w:szCs w:val="28"/>
        </w:rPr>
        <w:t>of</w:t>
      </w:r>
      <w:r w:rsidR="00B951FA" w:rsidRPr="00F85B75">
        <w:rPr>
          <w:sz w:val="28"/>
          <w:szCs w:val="28"/>
        </w:rPr>
        <w:t xml:space="preserve"> </w:t>
      </w:r>
      <w:r w:rsidR="00B951FA" w:rsidRPr="00F85B75">
        <w:rPr>
          <w:rFonts w:asciiTheme="majorBidi" w:hAnsiTheme="majorBidi" w:cstheme="majorBidi"/>
          <w:sz w:val="28"/>
          <w:szCs w:val="28"/>
        </w:rPr>
        <w:t xml:space="preserve">and </w:t>
      </w:r>
      <w:r w:rsidR="00B951FA" w:rsidRPr="00F85B75">
        <w:rPr>
          <w:sz w:val="28"/>
          <w:szCs w:val="28"/>
        </w:rPr>
        <w:t>34</w:t>
      </w:r>
      <w:r w:rsidR="00B951FA" w:rsidRPr="00F85B75">
        <w:rPr>
          <w:rFonts w:asciiTheme="majorBidi" w:hAnsiTheme="majorBidi" w:cstheme="majorBidi"/>
          <w:sz w:val="28"/>
          <w:szCs w:val="28"/>
        </w:rPr>
        <w:t>±0.29</w:t>
      </w:r>
      <w:r w:rsidR="008B463D">
        <w:rPr>
          <w:rFonts w:asciiTheme="majorBidi" w:hAnsiTheme="majorBidi" w:cstheme="majorBidi"/>
          <w:sz w:val="28"/>
          <w:szCs w:val="28"/>
        </w:rPr>
        <w:t xml:space="preserve"> </w:t>
      </w:r>
      <w:r w:rsidR="001663B3">
        <w:rPr>
          <w:rFonts w:asciiTheme="majorBidi" w:hAnsiTheme="majorBidi" w:cstheme="majorBidi"/>
          <w:sz w:val="28"/>
          <w:szCs w:val="28"/>
        </w:rPr>
        <w:t xml:space="preserve">and </w:t>
      </w:r>
      <w:r w:rsidR="001663B3" w:rsidRPr="00F85B75">
        <w:rPr>
          <w:sz w:val="28"/>
          <w:szCs w:val="28"/>
        </w:rPr>
        <w:t>35</w:t>
      </w:r>
      <w:r w:rsidR="001663B3" w:rsidRPr="00F85B75">
        <w:rPr>
          <w:rFonts w:asciiTheme="majorBidi" w:hAnsiTheme="majorBidi" w:cstheme="majorBidi"/>
          <w:sz w:val="28"/>
          <w:szCs w:val="28"/>
        </w:rPr>
        <w:t>±0.54</w:t>
      </w:r>
      <w:r w:rsidR="001663B3">
        <w:rPr>
          <w:rFonts w:asciiTheme="majorBidi" w:hAnsiTheme="majorBidi" w:cstheme="majorBidi"/>
          <w:sz w:val="28"/>
          <w:szCs w:val="28"/>
        </w:rPr>
        <w:t xml:space="preserve"> </w:t>
      </w:r>
      <w:r w:rsidR="008B463D">
        <w:rPr>
          <w:rFonts w:asciiTheme="majorBidi" w:hAnsiTheme="majorBidi" w:cstheme="majorBidi"/>
          <w:sz w:val="28"/>
          <w:szCs w:val="28"/>
        </w:rPr>
        <w:t>mmHg</w:t>
      </w:r>
      <w:r w:rsidR="009C21E4">
        <w:rPr>
          <w:rFonts w:asciiTheme="majorBidi" w:hAnsiTheme="majorBidi" w:cstheme="majorBidi"/>
          <w:sz w:val="28"/>
          <w:szCs w:val="28"/>
        </w:rPr>
        <w:t>,</w:t>
      </w:r>
      <w:r w:rsidR="00B951FA" w:rsidRPr="00F85B75">
        <w:rPr>
          <w:rFonts w:asciiTheme="majorBidi" w:hAnsiTheme="majorBidi" w:cstheme="majorBidi"/>
          <w:sz w:val="28"/>
          <w:szCs w:val="28"/>
        </w:rPr>
        <w:t xml:space="preserve"> respectively (p=</w:t>
      </w:r>
      <w:r w:rsidR="00B951FA" w:rsidRPr="00F85B75">
        <w:rPr>
          <w:sz w:val="28"/>
          <w:szCs w:val="28"/>
        </w:rPr>
        <w:t>0.114),</w:t>
      </w:r>
      <w:r w:rsidR="00681D02">
        <w:rPr>
          <w:sz w:val="28"/>
          <w:szCs w:val="28"/>
        </w:rPr>
        <w:t xml:space="preserve"> </w:t>
      </w:r>
      <w:r w:rsidR="00E36D47">
        <w:rPr>
          <w:sz w:val="28"/>
          <w:szCs w:val="28"/>
        </w:rPr>
        <w:t>which was</w:t>
      </w:r>
      <w:r w:rsidR="00B951FA" w:rsidRPr="00F85B75">
        <w:rPr>
          <w:sz w:val="28"/>
          <w:szCs w:val="28"/>
        </w:rPr>
        <w:t xml:space="preserve"> </w:t>
      </w:r>
      <w:r w:rsidR="00681D02">
        <w:rPr>
          <w:sz w:val="28"/>
          <w:szCs w:val="28"/>
        </w:rPr>
        <w:t xml:space="preserve">statistically </w:t>
      </w:r>
      <w:r w:rsidR="00E36D47">
        <w:rPr>
          <w:sz w:val="28"/>
          <w:szCs w:val="28"/>
        </w:rPr>
        <w:t>in</w:t>
      </w:r>
      <w:r w:rsidR="00B951FA" w:rsidRPr="00F85B75">
        <w:rPr>
          <w:sz w:val="28"/>
          <w:szCs w:val="28"/>
        </w:rPr>
        <w:t>significant</w:t>
      </w:r>
      <w:r w:rsidR="00710A1F">
        <w:rPr>
          <w:sz w:val="28"/>
          <w:szCs w:val="28"/>
        </w:rPr>
        <w:t>.</w:t>
      </w:r>
      <w:r w:rsidR="00D16E70">
        <w:rPr>
          <w:sz w:val="28"/>
          <w:szCs w:val="28"/>
        </w:rPr>
        <w:t xml:space="preserve"> </w:t>
      </w:r>
      <w:r w:rsidR="00562B3D">
        <w:rPr>
          <w:sz w:val="28"/>
          <w:szCs w:val="28"/>
        </w:rPr>
        <w:t>There were no statistically significant differences in t</w:t>
      </w:r>
      <w:r w:rsidR="00710A1F">
        <w:rPr>
          <w:sz w:val="28"/>
          <w:szCs w:val="28"/>
        </w:rPr>
        <w:t xml:space="preserve">he </w:t>
      </w:r>
      <w:r w:rsidR="00710A1F" w:rsidRPr="00F85B75">
        <w:rPr>
          <w:sz w:val="28"/>
          <w:szCs w:val="28"/>
        </w:rPr>
        <w:t>number of IOP lowering drops</w:t>
      </w:r>
      <w:r w:rsidR="001E07FB">
        <w:rPr>
          <w:sz w:val="28"/>
          <w:szCs w:val="28"/>
        </w:rPr>
        <w:t xml:space="preserve"> and preoperative medicated IOP (P=0.2505)</w:t>
      </w:r>
      <w:r w:rsidR="00B951FA" w:rsidRPr="00F85B75">
        <w:rPr>
          <w:sz w:val="28"/>
          <w:szCs w:val="28"/>
        </w:rPr>
        <w:t xml:space="preserve"> </w:t>
      </w:r>
      <w:r w:rsidR="00710A1F" w:rsidRPr="00F85B75">
        <w:rPr>
          <w:sz w:val="28"/>
          <w:szCs w:val="28"/>
        </w:rPr>
        <w:t>(</w:t>
      </w:r>
      <w:r w:rsidR="00710A1F">
        <w:rPr>
          <w:sz w:val="28"/>
          <w:szCs w:val="28"/>
        </w:rPr>
        <w:t>P</w:t>
      </w:r>
      <w:r w:rsidR="00710A1F" w:rsidRPr="00F85B75">
        <w:rPr>
          <w:sz w:val="28"/>
          <w:szCs w:val="28"/>
        </w:rPr>
        <w:t>=0.</w:t>
      </w:r>
      <w:r w:rsidR="00710A1F">
        <w:rPr>
          <w:sz w:val="28"/>
          <w:szCs w:val="28"/>
        </w:rPr>
        <w:t>0930</w:t>
      </w:r>
      <w:r w:rsidR="00E3206D" w:rsidRPr="00F85B75">
        <w:rPr>
          <w:sz w:val="28"/>
          <w:szCs w:val="28"/>
        </w:rPr>
        <w:t>)</w:t>
      </w:r>
      <w:r w:rsidR="00710A1F">
        <w:rPr>
          <w:sz w:val="28"/>
          <w:szCs w:val="28"/>
        </w:rPr>
        <w:t>.</w:t>
      </w:r>
      <w:r w:rsidR="00D16E70">
        <w:rPr>
          <w:sz w:val="28"/>
          <w:szCs w:val="28"/>
        </w:rPr>
        <w:t xml:space="preserve"> </w:t>
      </w:r>
      <w:r w:rsidR="00B951FA" w:rsidRPr="00F85B75">
        <w:rPr>
          <w:b/>
          <w:bCs/>
          <w:sz w:val="28"/>
          <w:szCs w:val="28"/>
        </w:rPr>
        <w:t>Table 3</w:t>
      </w:r>
    </w:p>
    <w:p w14:paraId="0651458C" w14:textId="77777777" w:rsidR="00FD486A" w:rsidRDefault="00FD486A" w:rsidP="00B552B8">
      <w:pPr>
        <w:spacing w:line="480" w:lineRule="auto"/>
      </w:pPr>
    </w:p>
    <w:p w14:paraId="5704186B" w14:textId="617BF913" w:rsidR="00EB34B3" w:rsidRPr="006D35FA" w:rsidRDefault="00E70650" w:rsidP="00B552B8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In each follow-up</w:t>
      </w:r>
      <w:r w:rsidR="00194620">
        <w:rPr>
          <w:sz w:val="28"/>
          <w:szCs w:val="28"/>
        </w:rPr>
        <w:t>,</w:t>
      </w:r>
      <w:r w:rsidR="00FD486A" w:rsidRPr="00F85B75">
        <w:rPr>
          <w:sz w:val="28"/>
          <w:szCs w:val="28"/>
        </w:rPr>
        <w:t xml:space="preserve"> we </w:t>
      </w:r>
      <w:r>
        <w:rPr>
          <w:sz w:val="28"/>
          <w:szCs w:val="28"/>
        </w:rPr>
        <w:t>assessed</w:t>
      </w:r>
      <w:r w:rsidR="00FD486A" w:rsidRPr="00F85B75">
        <w:rPr>
          <w:sz w:val="28"/>
          <w:szCs w:val="28"/>
        </w:rPr>
        <w:t xml:space="preserve"> </w:t>
      </w:r>
      <w:r w:rsidR="00194620">
        <w:rPr>
          <w:sz w:val="28"/>
          <w:szCs w:val="28"/>
        </w:rPr>
        <w:t xml:space="preserve">the </w:t>
      </w:r>
      <w:r w:rsidR="00122411">
        <w:rPr>
          <w:sz w:val="28"/>
          <w:szCs w:val="28"/>
        </w:rPr>
        <w:t>difference</w:t>
      </w:r>
      <w:r w:rsidR="00FD486A" w:rsidRPr="00F85B75">
        <w:rPr>
          <w:sz w:val="28"/>
          <w:szCs w:val="28"/>
        </w:rPr>
        <w:t xml:space="preserve"> in </w:t>
      </w:r>
      <w:r w:rsidR="00854152">
        <w:rPr>
          <w:sz w:val="28"/>
          <w:szCs w:val="28"/>
        </w:rPr>
        <w:t xml:space="preserve">the </w:t>
      </w:r>
      <w:r w:rsidR="00FD486A" w:rsidRPr="00F85B75">
        <w:rPr>
          <w:sz w:val="28"/>
          <w:szCs w:val="28"/>
        </w:rPr>
        <w:t>IOP</w:t>
      </w:r>
      <w:r w:rsidR="003F3C25">
        <w:rPr>
          <w:sz w:val="28"/>
          <w:szCs w:val="28"/>
        </w:rPr>
        <w:t xml:space="preserve"> level</w:t>
      </w:r>
      <w:r w:rsidR="00FD486A" w:rsidRPr="00F85B75">
        <w:rPr>
          <w:sz w:val="28"/>
          <w:szCs w:val="28"/>
        </w:rPr>
        <w:t xml:space="preserve"> and </w:t>
      </w:r>
      <w:r w:rsidR="00194620">
        <w:rPr>
          <w:sz w:val="28"/>
          <w:szCs w:val="28"/>
        </w:rPr>
        <w:t xml:space="preserve">the </w:t>
      </w:r>
      <w:r w:rsidR="00FD486A" w:rsidRPr="00F85B75">
        <w:rPr>
          <w:sz w:val="28"/>
          <w:szCs w:val="28"/>
        </w:rPr>
        <w:t xml:space="preserve">number of </w:t>
      </w:r>
      <w:r w:rsidR="00854152">
        <w:rPr>
          <w:sz w:val="28"/>
          <w:szCs w:val="28"/>
        </w:rPr>
        <w:t>IOP lowering</w:t>
      </w:r>
      <w:r w:rsidR="00FD486A" w:rsidRPr="00F85B75">
        <w:rPr>
          <w:sz w:val="28"/>
          <w:szCs w:val="28"/>
        </w:rPr>
        <w:t xml:space="preserve"> </w:t>
      </w:r>
      <w:r w:rsidR="00A740A7">
        <w:rPr>
          <w:sz w:val="28"/>
          <w:szCs w:val="28"/>
        </w:rPr>
        <w:t>drops</w:t>
      </w:r>
      <w:r w:rsidR="00FD486A" w:rsidRPr="00F85B75">
        <w:rPr>
          <w:sz w:val="28"/>
          <w:szCs w:val="28"/>
        </w:rPr>
        <w:t xml:space="preserve"> in the </w:t>
      </w:r>
      <w:r w:rsidR="00A740A7">
        <w:rPr>
          <w:sz w:val="28"/>
          <w:szCs w:val="28"/>
        </w:rPr>
        <w:t xml:space="preserve">study </w:t>
      </w:r>
      <w:r w:rsidR="00FD486A" w:rsidRPr="00F85B75">
        <w:rPr>
          <w:sz w:val="28"/>
          <w:szCs w:val="28"/>
        </w:rPr>
        <w:t>groups.</w:t>
      </w:r>
      <w:r w:rsidR="00D16E70">
        <w:rPr>
          <w:sz w:val="28"/>
          <w:szCs w:val="28"/>
        </w:rPr>
        <w:t xml:space="preserve"> </w:t>
      </w:r>
      <w:r w:rsidR="00EB34B3" w:rsidRPr="00F85B75">
        <w:rPr>
          <w:sz w:val="28"/>
          <w:szCs w:val="28"/>
        </w:rPr>
        <w:t>I</w:t>
      </w:r>
      <w:r w:rsidR="00FD486A" w:rsidRPr="00F85B75">
        <w:rPr>
          <w:sz w:val="28"/>
          <w:szCs w:val="28"/>
        </w:rPr>
        <w:t xml:space="preserve">n </w:t>
      </w:r>
      <w:r w:rsidR="00392660">
        <w:rPr>
          <w:sz w:val="28"/>
          <w:szCs w:val="28"/>
        </w:rPr>
        <w:t xml:space="preserve">the </w:t>
      </w:r>
      <w:proofErr w:type="spellStart"/>
      <w:r w:rsidR="00194620">
        <w:rPr>
          <w:sz w:val="28"/>
          <w:szCs w:val="28"/>
        </w:rPr>
        <w:t>P</w:t>
      </w:r>
      <w:r>
        <w:rPr>
          <w:sz w:val="28"/>
          <w:szCs w:val="28"/>
        </w:rPr>
        <w:t>hM</w:t>
      </w:r>
      <w:proofErr w:type="spellEnd"/>
      <w:r w:rsidR="00FD486A" w:rsidRPr="00F85B75">
        <w:rPr>
          <w:sz w:val="28"/>
          <w:szCs w:val="28"/>
        </w:rPr>
        <w:t xml:space="preserve"> group</w:t>
      </w:r>
      <w:r w:rsidR="00F85B75">
        <w:rPr>
          <w:sz w:val="28"/>
          <w:szCs w:val="28"/>
        </w:rPr>
        <w:t>,</w:t>
      </w:r>
      <w:r w:rsidR="00FD486A" w:rsidRPr="00F85B75">
        <w:rPr>
          <w:sz w:val="28"/>
          <w:szCs w:val="28"/>
        </w:rPr>
        <w:t xml:space="preserve"> </w:t>
      </w:r>
      <w:r w:rsidR="00194620">
        <w:rPr>
          <w:sz w:val="28"/>
          <w:szCs w:val="28"/>
        </w:rPr>
        <w:t>the</w:t>
      </w:r>
      <w:r w:rsidR="00FD486A" w:rsidRPr="00F85B75">
        <w:rPr>
          <w:sz w:val="28"/>
          <w:szCs w:val="28"/>
        </w:rPr>
        <w:t xml:space="preserve"> IOP</w:t>
      </w:r>
      <w:r w:rsidR="00EB34B3" w:rsidRPr="00F85B75">
        <w:rPr>
          <w:sz w:val="28"/>
          <w:szCs w:val="28"/>
        </w:rPr>
        <w:t xml:space="preserve"> </w:t>
      </w:r>
      <w:r w:rsidR="003F3C25">
        <w:rPr>
          <w:sz w:val="28"/>
          <w:szCs w:val="28"/>
        </w:rPr>
        <w:t>declined</w:t>
      </w:r>
      <w:r w:rsidR="00194620">
        <w:rPr>
          <w:sz w:val="28"/>
          <w:szCs w:val="28"/>
        </w:rPr>
        <w:t xml:space="preserve"> </w:t>
      </w:r>
      <w:r w:rsidR="00FD486A" w:rsidRPr="00F85B75">
        <w:rPr>
          <w:sz w:val="28"/>
          <w:szCs w:val="28"/>
        </w:rPr>
        <w:t>from</w:t>
      </w:r>
      <w:r>
        <w:rPr>
          <w:sz w:val="28"/>
          <w:szCs w:val="28"/>
        </w:rPr>
        <w:t xml:space="preserve"> a preoperative level of</w:t>
      </w:r>
      <w:r w:rsidR="00FD486A" w:rsidRPr="00F85B75">
        <w:rPr>
          <w:sz w:val="28"/>
          <w:szCs w:val="28"/>
        </w:rPr>
        <w:t xml:space="preserve"> 33</w:t>
      </w:r>
      <w:r w:rsidR="00FD486A" w:rsidRPr="00F85B75">
        <w:rPr>
          <w:rFonts w:asciiTheme="majorBidi" w:hAnsiTheme="majorBidi" w:cstheme="majorBidi"/>
          <w:sz w:val="28"/>
          <w:szCs w:val="28"/>
        </w:rPr>
        <w:t>±1.9</w:t>
      </w:r>
      <w:r w:rsidR="00F85B75">
        <w:rPr>
          <w:rFonts w:asciiTheme="majorBidi" w:hAnsiTheme="majorBidi" w:cstheme="majorBidi"/>
          <w:sz w:val="28"/>
          <w:szCs w:val="28"/>
        </w:rPr>
        <w:t xml:space="preserve"> </w:t>
      </w:r>
      <w:r w:rsidR="00194620">
        <w:rPr>
          <w:rFonts w:asciiTheme="majorBidi" w:hAnsiTheme="majorBidi" w:cstheme="majorBidi"/>
          <w:sz w:val="28"/>
          <w:szCs w:val="28"/>
        </w:rPr>
        <w:t>mmHg</w:t>
      </w:r>
      <w:r w:rsidR="00392660">
        <w:rPr>
          <w:sz w:val="28"/>
          <w:szCs w:val="28"/>
        </w:rPr>
        <w:t xml:space="preserve"> </w:t>
      </w:r>
      <w:r w:rsidR="00FD486A" w:rsidRPr="00F85B75">
        <w:rPr>
          <w:sz w:val="28"/>
          <w:szCs w:val="28"/>
        </w:rPr>
        <w:t xml:space="preserve">to </w:t>
      </w:r>
      <w:r w:rsidR="00EB34B3" w:rsidRPr="00F85B75">
        <w:rPr>
          <w:sz w:val="28"/>
          <w:szCs w:val="28"/>
        </w:rPr>
        <w:t xml:space="preserve">28±1.2 mmHg </w:t>
      </w:r>
      <w:r w:rsidR="00941EB0">
        <w:rPr>
          <w:sz w:val="28"/>
          <w:szCs w:val="28"/>
        </w:rPr>
        <w:t>in</w:t>
      </w:r>
      <w:r w:rsidR="009437AE">
        <w:rPr>
          <w:sz w:val="28"/>
          <w:szCs w:val="28"/>
        </w:rPr>
        <w:t xml:space="preserve"> the first</w:t>
      </w:r>
      <w:r w:rsidR="00053B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postoperative </w:t>
      </w:r>
      <w:r w:rsidR="00053BCF">
        <w:rPr>
          <w:sz w:val="28"/>
          <w:szCs w:val="28"/>
        </w:rPr>
        <w:t>week</w:t>
      </w:r>
      <w:r w:rsidR="00194620">
        <w:rPr>
          <w:sz w:val="28"/>
          <w:szCs w:val="28"/>
        </w:rPr>
        <w:t>.</w:t>
      </w:r>
      <w:r w:rsidR="00D16E70">
        <w:rPr>
          <w:sz w:val="28"/>
          <w:szCs w:val="28"/>
        </w:rPr>
        <w:t xml:space="preserve"> </w:t>
      </w:r>
      <w:r w:rsidR="00392660">
        <w:rPr>
          <w:b/>
          <w:bCs/>
          <w:sz w:val="28"/>
          <w:szCs w:val="28"/>
        </w:rPr>
        <w:t>Fig</w:t>
      </w:r>
      <w:r w:rsidR="00EB34B3" w:rsidRPr="00F85B75">
        <w:rPr>
          <w:b/>
          <w:bCs/>
          <w:sz w:val="28"/>
          <w:szCs w:val="28"/>
        </w:rPr>
        <w:t xml:space="preserve"> 1</w:t>
      </w:r>
      <w:r w:rsidR="00EB34B3" w:rsidRPr="00F85B75">
        <w:rPr>
          <w:sz w:val="28"/>
          <w:szCs w:val="28"/>
        </w:rPr>
        <w:t xml:space="preserve"> </w:t>
      </w:r>
      <w:r w:rsidR="003F3C25">
        <w:rPr>
          <w:sz w:val="28"/>
          <w:szCs w:val="28"/>
        </w:rPr>
        <w:t>T</w:t>
      </w:r>
      <w:r w:rsidR="00AF1665">
        <w:rPr>
          <w:sz w:val="28"/>
          <w:szCs w:val="28"/>
        </w:rPr>
        <w:t xml:space="preserve">hat </w:t>
      </w:r>
      <w:r>
        <w:rPr>
          <w:sz w:val="28"/>
          <w:szCs w:val="28"/>
        </w:rPr>
        <w:t>fall</w:t>
      </w:r>
      <w:r w:rsidR="00AF1665">
        <w:rPr>
          <w:sz w:val="28"/>
          <w:szCs w:val="28"/>
        </w:rPr>
        <w:t xml:space="preserve"> was</w:t>
      </w:r>
      <w:r w:rsidR="00EB34B3" w:rsidRPr="00F85B75">
        <w:rPr>
          <w:sz w:val="28"/>
          <w:szCs w:val="28"/>
        </w:rPr>
        <w:t xml:space="preserve"> </w:t>
      </w:r>
      <w:r>
        <w:rPr>
          <w:sz w:val="28"/>
          <w:szCs w:val="28"/>
        </w:rPr>
        <w:t>not enough</w:t>
      </w:r>
      <w:r w:rsidR="00EB34B3" w:rsidRPr="00F85B75">
        <w:rPr>
          <w:sz w:val="28"/>
          <w:szCs w:val="28"/>
        </w:rPr>
        <w:t xml:space="preserve"> to </w:t>
      </w:r>
      <w:r>
        <w:rPr>
          <w:sz w:val="28"/>
          <w:szCs w:val="28"/>
        </w:rPr>
        <w:t>meet</w:t>
      </w:r>
      <w:r w:rsidR="00EB34B3" w:rsidRPr="00F85B75">
        <w:rPr>
          <w:sz w:val="28"/>
          <w:szCs w:val="28"/>
        </w:rPr>
        <w:t xml:space="preserve"> </w:t>
      </w:r>
      <w:r w:rsidR="00AF1665">
        <w:rPr>
          <w:sz w:val="28"/>
          <w:szCs w:val="28"/>
        </w:rPr>
        <w:t>the</w:t>
      </w:r>
      <w:r w:rsidR="00EB34B3" w:rsidRPr="00F85B75">
        <w:rPr>
          <w:sz w:val="28"/>
          <w:szCs w:val="28"/>
        </w:rPr>
        <w:t xml:space="preserve"> </w:t>
      </w:r>
      <w:r w:rsidR="003F3C25">
        <w:rPr>
          <w:sz w:val="28"/>
          <w:szCs w:val="28"/>
        </w:rPr>
        <w:t>desired</w:t>
      </w:r>
      <w:r w:rsidR="00EB34B3" w:rsidRPr="00F85B75">
        <w:rPr>
          <w:sz w:val="28"/>
          <w:szCs w:val="28"/>
        </w:rPr>
        <w:t xml:space="preserve"> IOP</w:t>
      </w:r>
      <w:r w:rsidR="000870AD">
        <w:rPr>
          <w:sz w:val="28"/>
          <w:szCs w:val="28"/>
        </w:rPr>
        <w:t>.</w:t>
      </w:r>
      <w:r w:rsidR="00D16E70">
        <w:rPr>
          <w:sz w:val="28"/>
          <w:szCs w:val="28"/>
        </w:rPr>
        <w:t xml:space="preserve"> </w:t>
      </w:r>
      <w:r>
        <w:rPr>
          <w:sz w:val="28"/>
          <w:szCs w:val="28"/>
        </w:rPr>
        <w:t>For that reason</w:t>
      </w:r>
      <w:r w:rsidR="000870AD">
        <w:rPr>
          <w:sz w:val="28"/>
          <w:szCs w:val="28"/>
        </w:rPr>
        <w:t xml:space="preserve">, we reinstated the IOP lowering </w:t>
      </w:r>
      <w:r>
        <w:rPr>
          <w:sz w:val="28"/>
          <w:szCs w:val="28"/>
        </w:rPr>
        <w:t xml:space="preserve">medications </w:t>
      </w:r>
      <w:r w:rsidR="000870AD">
        <w:rPr>
          <w:sz w:val="28"/>
          <w:szCs w:val="28"/>
        </w:rPr>
        <w:t xml:space="preserve">for </w:t>
      </w:r>
      <w:proofErr w:type="spellStart"/>
      <w:r>
        <w:rPr>
          <w:sz w:val="28"/>
          <w:szCs w:val="28"/>
        </w:rPr>
        <w:t>PhM</w:t>
      </w:r>
      <w:proofErr w:type="spellEnd"/>
      <w:r>
        <w:rPr>
          <w:sz w:val="28"/>
          <w:szCs w:val="28"/>
        </w:rPr>
        <w:t xml:space="preserve"> group</w:t>
      </w:r>
      <w:r w:rsidR="000870AD">
        <w:rPr>
          <w:sz w:val="28"/>
          <w:szCs w:val="28"/>
        </w:rPr>
        <w:t xml:space="preserve"> patients.</w:t>
      </w:r>
      <w:r w:rsidR="00D16E70">
        <w:rPr>
          <w:sz w:val="28"/>
          <w:szCs w:val="28"/>
        </w:rPr>
        <w:t xml:space="preserve"> </w:t>
      </w:r>
      <w:r w:rsidR="000870AD">
        <w:rPr>
          <w:sz w:val="28"/>
          <w:szCs w:val="28"/>
        </w:rPr>
        <w:lastRenderedPageBreak/>
        <w:t xml:space="preserve">By the end of the </w:t>
      </w:r>
      <w:r>
        <w:rPr>
          <w:sz w:val="28"/>
          <w:szCs w:val="28"/>
        </w:rPr>
        <w:t>study</w:t>
      </w:r>
      <w:r w:rsidR="000870AD">
        <w:rPr>
          <w:sz w:val="28"/>
          <w:szCs w:val="28"/>
        </w:rPr>
        <w:t xml:space="preserve">, all </w:t>
      </w:r>
      <w:proofErr w:type="spellStart"/>
      <w:r w:rsidR="003F3C25">
        <w:rPr>
          <w:sz w:val="28"/>
          <w:szCs w:val="28"/>
        </w:rPr>
        <w:t>PhM</w:t>
      </w:r>
      <w:proofErr w:type="spellEnd"/>
      <w:r w:rsidR="003F3C25">
        <w:rPr>
          <w:sz w:val="28"/>
          <w:szCs w:val="28"/>
        </w:rPr>
        <w:t xml:space="preserve"> group </w:t>
      </w:r>
      <w:r w:rsidR="000870AD">
        <w:rPr>
          <w:sz w:val="28"/>
          <w:szCs w:val="28"/>
        </w:rPr>
        <w:t xml:space="preserve">patients </w:t>
      </w:r>
      <w:r>
        <w:rPr>
          <w:sz w:val="28"/>
          <w:szCs w:val="28"/>
        </w:rPr>
        <w:t>used</w:t>
      </w:r>
      <w:r w:rsidR="000870AD">
        <w:rPr>
          <w:sz w:val="28"/>
          <w:szCs w:val="28"/>
        </w:rPr>
        <w:t xml:space="preserve"> the same number of </w:t>
      </w:r>
      <w:r w:rsidR="003F3C25">
        <w:rPr>
          <w:sz w:val="28"/>
          <w:szCs w:val="28"/>
        </w:rPr>
        <w:t>glaucoma</w:t>
      </w:r>
      <w:r w:rsidR="000870AD">
        <w:rPr>
          <w:sz w:val="28"/>
          <w:szCs w:val="28"/>
        </w:rPr>
        <w:t xml:space="preserve"> </w:t>
      </w:r>
      <w:r>
        <w:rPr>
          <w:sz w:val="28"/>
          <w:szCs w:val="28"/>
        </w:rPr>
        <w:t>medications</w:t>
      </w:r>
      <w:r w:rsidR="000870AD">
        <w:rPr>
          <w:sz w:val="28"/>
          <w:szCs w:val="28"/>
        </w:rPr>
        <w:t xml:space="preserve"> as before </w:t>
      </w:r>
      <w:r>
        <w:rPr>
          <w:sz w:val="28"/>
          <w:szCs w:val="28"/>
        </w:rPr>
        <w:t xml:space="preserve">undergoing </w:t>
      </w:r>
      <w:r w:rsidR="000870AD">
        <w:rPr>
          <w:sz w:val="28"/>
          <w:szCs w:val="28"/>
        </w:rPr>
        <w:t>surgery.</w:t>
      </w:r>
      <w:r w:rsidR="00EB34B3" w:rsidRPr="00F85B75">
        <w:rPr>
          <w:sz w:val="28"/>
          <w:szCs w:val="28"/>
        </w:rPr>
        <w:t xml:space="preserve"> </w:t>
      </w:r>
    </w:p>
    <w:p w14:paraId="25A7E788" w14:textId="11396434" w:rsidR="00EB34B3" w:rsidRDefault="00EB34B3" w:rsidP="00B552B8">
      <w:pPr>
        <w:spacing w:line="480" w:lineRule="auto"/>
        <w:rPr>
          <w:sz w:val="28"/>
          <w:szCs w:val="28"/>
        </w:rPr>
      </w:pPr>
    </w:p>
    <w:p w14:paraId="38C67ED9" w14:textId="74EAA79C" w:rsidR="00EB34B3" w:rsidRDefault="00053BCF" w:rsidP="00B552B8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In</w:t>
      </w:r>
      <w:r w:rsidR="000870AD">
        <w:rPr>
          <w:sz w:val="28"/>
          <w:szCs w:val="28"/>
        </w:rPr>
        <w:t xml:space="preserve"> </w:t>
      </w:r>
      <w:r w:rsidR="00392660">
        <w:rPr>
          <w:sz w:val="28"/>
          <w:szCs w:val="28"/>
        </w:rPr>
        <w:t xml:space="preserve">the </w:t>
      </w:r>
      <w:proofErr w:type="spellStart"/>
      <w:r w:rsidR="000870AD">
        <w:rPr>
          <w:sz w:val="28"/>
          <w:szCs w:val="28"/>
        </w:rPr>
        <w:t>P</w:t>
      </w:r>
      <w:r w:rsidR="00E70650">
        <w:rPr>
          <w:sz w:val="28"/>
          <w:szCs w:val="28"/>
        </w:rPr>
        <w:t>hS</w:t>
      </w:r>
      <w:proofErr w:type="spellEnd"/>
      <w:r w:rsidR="000870AD">
        <w:rPr>
          <w:sz w:val="28"/>
          <w:szCs w:val="28"/>
        </w:rPr>
        <w:t xml:space="preserve"> </w:t>
      </w:r>
      <w:r w:rsidR="00EB34B3">
        <w:rPr>
          <w:sz w:val="28"/>
          <w:szCs w:val="28"/>
        </w:rPr>
        <w:t>group</w:t>
      </w:r>
      <w:r w:rsidR="00A24796">
        <w:rPr>
          <w:sz w:val="28"/>
          <w:szCs w:val="28"/>
        </w:rPr>
        <w:t>,</w:t>
      </w:r>
      <w:r w:rsidR="004A53C7">
        <w:rPr>
          <w:sz w:val="28"/>
          <w:szCs w:val="28"/>
        </w:rPr>
        <w:t xml:space="preserve"> </w:t>
      </w:r>
      <w:r w:rsidR="001822D0">
        <w:rPr>
          <w:sz w:val="28"/>
          <w:szCs w:val="28"/>
        </w:rPr>
        <w:t xml:space="preserve">one week after surgery, </w:t>
      </w:r>
      <w:r>
        <w:rPr>
          <w:sz w:val="28"/>
          <w:szCs w:val="28"/>
        </w:rPr>
        <w:t>the</w:t>
      </w:r>
      <w:r w:rsidR="00EB34B3">
        <w:rPr>
          <w:sz w:val="28"/>
          <w:szCs w:val="28"/>
        </w:rPr>
        <w:t xml:space="preserve"> IOP </w:t>
      </w:r>
      <w:r>
        <w:rPr>
          <w:sz w:val="28"/>
          <w:szCs w:val="28"/>
        </w:rPr>
        <w:t xml:space="preserve">was </w:t>
      </w:r>
      <w:r w:rsidR="00EB34B3" w:rsidRPr="00A24796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="00EB34B3" w:rsidRPr="00A24796">
        <w:rPr>
          <w:rFonts w:asciiTheme="majorBidi" w:hAnsiTheme="majorBidi" w:cstheme="majorBidi"/>
          <w:sz w:val="28"/>
          <w:szCs w:val="28"/>
        </w:rPr>
        <w:t>±0.</w:t>
      </w:r>
      <w:r>
        <w:rPr>
          <w:rFonts w:asciiTheme="majorBidi" w:hAnsiTheme="majorBidi" w:cstheme="majorBidi"/>
          <w:sz w:val="28"/>
          <w:szCs w:val="28"/>
        </w:rPr>
        <w:t>83</w:t>
      </w:r>
      <w:r w:rsidR="005E05E2">
        <w:rPr>
          <w:rFonts w:asciiTheme="majorBidi" w:hAnsiTheme="majorBidi" w:cstheme="majorBidi"/>
          <w:sz w:val="28"/>
          <w:szCs w:val="28"/>
        </w:rPr>
        <w:t xml:space="preserve"> mmHg</w:t>
      </w:r>
      <w:r w:rsidR="00EB34B3" w:rsidRPr="00A24796">
        <w:rPr>
          <w:sz w:val="28"/>
          <w:szCs w:val="28"/>
        </w:rPr>
        <w:t>,</w:t>
      </w:r>
      <w:r w:rsidR="00EB34B3">
        <w:rPr>
          <w:sz w:val="28"/>
          <w:szCs w:val="28"/>
        </w:rPr>
        <w:t xml:space="preserve"> </w:t>
      </w:r>
      <w:r w:rsidR="005E05E2">
        <w:rPr>
          <w:sz w:val="28"/>
          <w:szCs w:val="28"/>
        </w:rPr>
        <w:t xml:space="preserve">which </w:t>
      </w:r>
      <w:r w:rsidR="00E70650">
        <w:rPr>
          <w:sz w:val="28"/>
          <w:szCs w:val="28"/>
        </w:rPr>
        <w:t>then reached</w:t>
      </w:r>
      <w:r w:rsidR="005E05E2">
        <w:rPr>
          <w:sz w:val="28"/>
          <w:szCs w:val="28"/>
        </w:rPr>
        <w:t xml:space="preserve"> </w:t>
      </w:r>
      <w:r w:rsidR="00E70650">
        <w:rPr>
          <w:sz w:val="28"/>
          <w:szCs w:val="28"/>
        </w:rPr>
        <w:t>14</w:t>
      </w:r>
      <w:r w:rsidR="00E70650" w:rsidRPr="00A24796">
        <w:rPr>
          <w:rFonts w:asciiTheme="majorBidi" w:hAnsiTheme="majorBidi" w:cstheme="majorBidi"/>
          <w:sz w:val="28"/>
          <w:szCs w:val="28"/>
        </w:rPr>
        <w:t>±</w:t>
      </w:r>
      <w:r w:rsidR="00E70650">
        <w:rPr>
          <w:rFonts w:asciiTheme="majorBidi" w:hAnsiTheme="majorBidi" w:cstheme="majorBidi"/>
          <w:sz w:val="28"/>
          <w:szCs w:val="28"/>
        </w:rPr>
        <w:t xml:space="preserve">0.09 mmHg </w:t>
      </w:r>
      <w:r w:rsidR="00E70650">
        <w:rPr>
          <w:sz w:val="28"/>
          <w:szCs w:val="28"/>
        </w:rPr>
        <w:t>via</w:t>
      </w:r>
      <w:r w:rsidR="005E05E2">
        <w:rPr>
          <w:sz w:val="28"/>
          <w:szCs w:val="28"/>
        </w:rPr>
        <w:t xml:space="preserve"> reinstating the IOP lowering drops </w:t>
      </w:r>
      <w:r w:rsidR="005E05E2">
        <w:rPr>
          <w:rFonts w:asciiTheme="majorBidi" w:hAnsiTheme="majorBidi" w:cstheme="majorBidi"/>
          <w:sz w:val="28"/>
          <w:szCs w:val="28"/>
        </w:rPr>
        <w:t xml:space="preserve">by the end of the </w:t>
      </w:r>
      <w:r w:rsidR="00122411">
        <w:rPr>
          <w:rFonts w:asciiTheme="majorBidi" w:hAnsiTheme="majorBidi" w:cstheme="majorBidi"/>
          <w:sz w:val="28"/>
          <w:szCs w:val="28"/>
        </w:rPr>
        <w:t>24-month follow-up</w:t>
      </w:r>
      <w:r w:rsidR="005E05E2">
        <w:rPr>
          <w:rFonts w:asciiTheme="majorBidi" w:hAnsiTheme="majorBidi" w:cstheme="majorBidi"/>
          <w:sz w:val="28"/>
          <w:szCs w:val="28"/>
        </w:rPr>
        <w:t>.</w:t>
      </w:r>
      <w:r w:rsidR="00D16E70">
        <w:rPr>
          <w:sz w:val="28"/>
          <w:szCs w:val="28"/>
        </w:rPr>
        <w:t xml:space="preserve"> </w:t>
      </w:r>
      <w:r w:rsidR="001822D0">
        <w:rPr>
          <w:sz w:val="28"/>
          <w:szCs w:val="28"/>
        </w:rPr>
        <w:t>There was</w:t>
      </w:r>
      <w:r w:rsidR="00EB34B3">
        <w:rPr>
          <w:sz w:val="28"/>
          <w:szCs w:val="28"/>
        </w:rPr>
        <w:t xml:space="preserve"> no change in the number of </w:t>
      </w:r>
      <w:r w:rsidR="00E70650">
        <w:rPr>
          <w:sz w:val="28"/>
          <w:szCs w:val="28"/>
        </w:rPr>
        <w:t>IOP-lowering</w:t>
      </w:r>
      <w:r w:rsidR="00EB34B3">
        <w:rPr>
          <w:sz w:val="28"/>
          <w:szCs w:val="28"/>
        </w:rPr>
        <w:t xml:space="preserve"> </w:t>
      </w:r>
      <w:r w:rsidR="00E70650">
        <w:rPr>
          <w:sz w:val="28"/>
          <w:szCs w:val="28"/>
        </w:rPr>
        <w:t>medications</w:t>
      </w:r>
      <w:r w:rsidR="00EB34B3">
        <w:rPr>
          <w:sz w:val="28"/>
          <w:szCs w:val="28"/>
        </w:rPr>
        <w:t xml:space="preserve"> that were </w:t>
      </w:r>
      <w:r w:rsidR="00E2755F">
        <w:rPr>
          <w:sz w:val="28"/>
          <w:szCs w:val="28"/>
        </w:rPr>
        <w:t>using</w:t>
      </w:r>
      <w:r w:rsidR="00EB34B3">
        <w:rPr>
          <w:sz w:val="28"/>
          <w:szCs w:val="28"/>
        </w:rPr>
        <w:t xml:space="preserve"> before </w:t>
      </w:r>
      <w:r w:rsidR="003F3C25">
        <w:rPr>
          <w:sz w:val="28"/>
          <w:szCs w:val="28"/>
        </w:rPr>
        <w:t>undergoing surgery</w:t>
      </w:r>
      <w:r w:rsidR="00EB34B3">
        <w:rPr>
          <w:sz w:val="28"/>
          <w:szCs w:val="28"/>
        </w:rPr>
        <w:t xml:space="preserve"> </w:t>
      </w:r>
      <w:r w:rsidR="00A24796">
        <w:rPr>
          <w:sz w:val="28"/>
          <w:szCs w:val="28"/>
        </w:rPr>
        <w:t>(</w:t>
      </w:r>
      <w:r w:rsidR="00000970" w:rsidRPr="00A24796">
        <w:rPr>
          <w:b/>
          <w:bCs/>
          <w:sz w:val="28"/>
          <w:szCs w:val="28"/>
        </w:rPr>
        <w:t>fig 2</w:t>
      </w:r>
      <w:r w:rsidR="00A24796">
        <w:rPr>
          <w:b/>
          <w:bCs/>
          <w:sz w:val="28"/>
          <w:szCs w:val="28"/>
        </w:rPr>
        <w:t>)</w:t>
      </w:r>
    </w:p>
    <w:p w14:paraId="306560AD" w14:textId="1EB9E601" w:rsidR="00000970" w:rsidRDefault="00000970" w:rsidP="00B552B8">
      <w:pPr>
        <w:spacing w:line="480" w:lineRule="auto"/>
        <w:rPr>
          <w:sz w:val="28"/>
          <w:szCs w:val="28"/>
        </w:rPr>
      </w:pPr>
    </w:p>
    <w:p w14:paraId="55045D24" w14:textId="17388CE8" w:rsidR="00000970" w:rsidRPr="00776ACF" w:rsidRDefault="00E70650" w:rsidP="00B552B8">
      <w:pPr>
        <w:spacing w:line="480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Regarding</w:t>
      </w:r>
      <w:r w:rsidR="00000970">
        <w:rPr>
          <w:sz w:val="28"/>
          <w:szCs w:val="28"/>
        </w:rPr>
        <w:t xml:space="preserve"> </w:t>
      </w:r>
      <w:r w:rsidR="00541CD3">
        <w:rPr>
          <w:sz w:val="28"/>
          <w:szCs w:val="28"/>
        </w:rPr>
        <w:t xml:space="preserve">the </w:t>
      </w:r>
      <w:proofErr w:type="spellStart"/>
      <w:r w:rsidR="00541CD3">
        <w:rPr>
          <w:sz w:val="28"/>
          <w:szCs w:val="28"/>
        </w:rPr>
        <w:t>P</w:t>
      </w:r>
      <w:r>
        <w:rPr>
          <w:sz w:val="28"/>
          <w:szCs w:val="28"/>
        </w:rPr>
        <w:t>h</w:t>
      </w:r>
      <w:r w:rsidR="00541CD3">
        <w:rPr>
          <w:sz w:val="28"/>
          <w:szCs w:val="28"/>
        </w:rPr>
        <w:t>G</w:t>
      </w:r>
      <w:r>
        <w:rPr>
          <w:sz w:val="28"/>
          <w:szCs w:val="28"/>
        </w:rPr>
        <w:t>M</w:t>
      </w:r>
      <w:proofErr w:type="spellEnd"/>
      <w:r w:rsidR="00541CD3">
        <w:rPr>
          <w:sz w:val="28"/>
          <w:szCs w:val="28"/>
        </w:rPr>
        <w:t xml:space="preserve"> group</w:t>
      </w:r>
      <w:r w:rsidR="00392660">
        <w:rPr>
          <w:sz w:val="28"/>
          <w:szCs w:val="28"/>
        </w:rPr>
        <w:t>,</w:t>
      </w:r>
      <w:r w:rsidR="00000970">
        <w:rPr>
          <w:sz w:val="28"/>
          <w:szCs w:val="28"/>
        </w:rPr>
        <w:t xml:space="preserve"> IOP </w:t>
      </w:r>
      <w:r>
        <w:rPr>
          <w:sz w:val="28"/>
          <w:szCs w:val="28"/>
        </w:rPr>
        <w:t>dropped</w:t>
      </w:r>
      <w:r w:rsidR="008E62C5">
        <w:rPr>
          <w:sz w:val="28"/>
          <w:szCs w:val="28"/>
        </w:rPr>
        <w:t xml:space="preserve"> </w:t>
      </w:r>
      <w:r w:rsidR="00000970">
        <w:rPr>
          <w:sz w:val="28"/>
          <w:szCs w:val="28"/>
        </w:rPr>
        <w:t xml:space="preserve">from </w:t>
      </w:r>
      <w:r w:rsidR="00000970" w:rsidRPr="00A24796">
        <w:rPr>
          <w:sz w:val="28"/>
          <w:szCs w:val="28"/>
        </w:rPr>
        <w:t xml:space="preserve">31±0.9 </w:t>
      </w:r>
      <w:r w:rsidR="00541CD3">
        <w:rPr>
          <w:sz w:val="28"/>
          <w:szCs w:val="28"/>
        </w:rPr>
        <w:t>mmHg</w:t>
      </w:r>
      <w:r w:rsidR="003F3C25">
        <w:rPr>
          <w:sz w:val="28"/>
          <w:szCs w:val="28"/>
        </w:rPr>
        <w:t xml:space="preserve"> before surgery</w:t>
      </w:r>
      <w:r w:rsidR="00541CD3">
        <w:rPr>
          <w:sz w:val="28"/>
          <w:szCs w:val="28"/>
        </w:rPr>
        <w:t xml:space="preserve"> </w:t>
      </w:r>
      <w:r w:rsidR="00000970" w:rsidRPr="00A24796">
        <w:rPr>
          <w:sz w:val="28"/>
          <w:szCs w:val="28"/>
        </w:rPr>
        <w:t>to</w:t>
      </w:r>
      <w:r w:rsidR="008E62C5">
        <w:rPr>
          <w:sz w:val="28"/>
          <w:szCs w:val="28"/>
        </w:rPr>
        <w:t xml:space="preserve"> </w:t>
      </w:r>
      <w:r w:rsidR="00CE7BC8" w:rsidRPr="00A24796">
        <w:rPr>
          <w:sz w:val="28"/>
          <w:szCs w:val="28"/>
        </w:rPr>
        <w:t>14±0.9</w:t>
      </w:r>
      <w:r w:rsidR="00000970">
        <w:rPr>
          <w:sz w:val="20"/>
          <w:szCs w:val="20"/>
        </w:rPr>
        <w:t xml:space="preserve"> </w:t>
      </w:r>
      <w:r w:rsidR="00541CD3">
        <w:rPr>
          <w:sz w:val="28"/>
          <w:szCs w:val="28"/>
        </w:rPr>
        <w:t>mmHg</w:t>
      </w:r>
      <w:r w:rsidR="00CE7BC8">
        <w:rPr>
          <w:sz w:val="20"/>
          <w:szCs w:val="20"/>
        </w:rPr>
        <w:t xml:space="preserve"> </w:t>
      </w:r>
      <w:r w:rsidR="003F3C25">
        <w:rPr>
          <w:sz w:val="28"/>
          <w:szCs w:val="28"/>
        </w:rPr>
        <w:t>one week after surgery</w:t>
      </w:r>
      <w:r w:rsidR="008E62C5">
        <w:rPr>
          <w:sz w:val="28"/>
          <w:szCs w:val="28"/>
        </w:rPr>
        <w:t xml:space="preserve"> (p&lt;0.0001)</w:t>
      </w:r>
      <w:r w:rsidR="00CB6DC7">
        <w:rPr>
          <w:sz w:val="28"/>
          <w:szCs w:val="28"/>
        </w:rPr>
        <w:t>.</w:t>
      </w:r>
      <w:r w:rsidR="00D16E70">
        <w:rPr>
          <w:sz w:val="28"/>
          <w:szCs w:val="28"/>
        </w:rPr>
        <w:t xml:space="preserve"> </w:t>
      </w:r>
      <w:r w:rsidR="00DF75E6">
        <w:rPr>
          <w:sz w:val="28"/>
          <w:szCs w:val="28"/>
        </w:rPr>
        <w:t>That</w:t>
      </w:r>
      <w:r w:rsidR="00000970">
        <w:rPr>
          <w:sz w:val="28"/>
          <w:szCs w:val="28"/>
        </w:rPr>
        <w:t xml:space="preserve"> </w:t>
      </w:r>
      <w:r>
        <w:rPr>
          <w:sz w:val="28"/>
          <w:szCs w:val="28"/>
        </w:rPr>
        <w:t>change</w:t>
      </w:r>
      <w:r w:rsidR="00000970">
        <w:rPr>
          <w:sz w:val="28"/>
          <w:szCs w:val="28"/>
        </w:rPr>
        <w:t xml:space="preserve"> </w:t>
      </w:r>
      <w:r w:rsidR="001304C8">
        <w:rPr>
          <w:sz w:val="28"/>
          <w:szCs w:val="28"/>
        </w:rPr>
        <w:t xml:space="preserve">was </w:t>
      </w:r>
      <w:r>
        <w:rPr>
          <w:sz w:val="28"/>
          <w:szCs w:val="28"/>
        </w:rPr>
        <w:t>nearly constant</w:t>
      </w:r>
      <w:r w:rsidR="00000970">
        <w:rPr>
          <w:sz w:val="28"/>
          <w:szCs w:val="28"/>
        </w:rPr>
        <w:t xml:space="preserve"> </w:t>
      </w:r>
      <w:r w:rsidR="00DF75E6">
        <w:rPr>
          <w:sz w:val="28"/>
          <w:szCs w:val="28"/>
        </w:rPr>
        <w:t>throughout the</w:t>
      </w:r>
      <w:r w:rsidR="00000970">
        <w:rPr>
          <w:sz w:val="28"/>
          <w:szCs w:val="28"/>
        </w:rPr>
        <w:t xml:space="preserve"> </w:t>
      </w:r>
      <w:r w:rsidR="00122411">
        <w:rPr>
          <w:sz w:val="28"/>
          <w:szCs w:val="28"/>
        </w:rPr>
        <w:t>24-month follow-up</w:t>
      </w:r>
      <w:r w:rsidR="003F3C25">
        <w:rPr>
          <w:sz w:val="28"/>
          <w:szCs w:val="28"/>
        </w:rPr>
        <w:t xml:space="preserve"> period</w:t>
      </w:r>
      <w:r w:rsidR="001304C8">
        <w:rPr>
          <w:sz w:val="28"/>
          <w:szCs w:val="28"/>
        </w:rPr>
        <w:t xml:space="preserve"> </w:t>
      </w:r>
      <w:r>
        <w:rPr>
          <w:sz w:val="28"/>
          <w:szCs w:val="28"/>
        </w:rPr>
        <w:t>with no</w:t>
      </w:r>
      <w:r w:rsidR="001304C8">
        <w:rPr>
          <w:sz w:val="28"/>
          <w:szCs w:val="28"/>
        </w:rPr>
        <w:t xml:space="preserve"> need to </w:t>
      </w:r>
      <w:r w:rsidR="003C7BEC">
        <w:rPr>
          <w:sz w:val="28"/>
          <w:szCs w:val="28"/>
        </w:rPr>
        <w:t>reinstate</w:t>
      </w:r>
      <w:r w:rsidR="00CB6DC7">
        <w:rPr>
          <w:sz w:val="28"/>
          <w:szCs w:val="28"/>
        </w:rPr>
        <w:t xml:space="preserve"> </w:t>
      </w:r>
      <w:r w:rsidR="001304C8">
        <w:rPr>
          <w:sz w:val="28"/>
          <w:szCs w:val="28"/>
        </w:rPr>
        <w:t>any</w:t>
      </w:r>
      <w:r w:rsidR="00000970">
        <w:rPr>
          <w:sz w:val="28"/>
          <w:szCs w:val="28"/>
        </w:rPr>
        <w:t xml:space="preserve"> </w:t>
      </w:r>
      <w:r w:rsidR="001304C8">
        <w:rPr>
          <w:sz w:val="28"/>
          <w:szCs w:val="28"/>
        </w:rPr>
        <w:t xml:space="preserve">IOP lowering </w:t>
      </w:r>
      <w:r>
        <w:rPr>
          <w:sz w:val="28"/>
          <w:szCs w:val="28"/>
        </w:rPr>
        <w:t>medications</w:t>
      </w:r>
      <w:r w:rsidR="00392660">
        <w:rPr>
          <w:sz w:val="28"/>
          <w:szCs w:val="28"/>
        </w:rPr>
        <w:t xml:space="preserve"> </w:t>
      </w:r>
      <w:r w:rsidR="00CE7BC8" w:rsidRPr="001304C8">
        <w:rPr>
          <w:b/>
          <w:bCs/>
          <w:sz w:val="28"/>
          <w:szCs w:val="28"/>
        </w:rPr>
        <w:t>fig 3</w:t>
      </w:r>
      <w:r w:rsidR="00CE7BC8">
        <w:rPr>
          <w:sz w:val="28"/>
          <w:szCs w:val="28"/>
        </w:rPr>
        <w:t>.</w:t>
      </w:r>
      <w:r w:rsidR="00D16E70">
        <w:rPr>
          <w:sz w:val="28"/>
          <w:szCs w:val="28"/>
        </w:rPr>
        <w:t xml:space="preserve"> </w:t>
      </w:r>
      <w:r w:rsidR="00CE7BC8">
        <w:rPr>
          <w:sz w:val="28"/>
          <w:szCs w:val="28"/>
        </w:rPr>
        <w:t xml:space="preserve">While in </w:t>
      </w:r>
      <w:r w:rsidR="00392660">
        <w:rPr>
          <w:sz w:val="28"/>
          <w:szCs w:val="28"/>
        </w:rPr>
        <w:t xml:space="preserve">the </w:t>
      </w:r>
      <w:proofErr w:type="spellStart"/>
      <w:r w:rsidR="001304C8">
        <w:rPr>
          <w:sz w:val="28"/>
          <w:szCs w:val="28"/>
        </w:rPr>
        <w:t>P</w:t>
      </w:r>
      <w:r>
        <w:rPr>
          <w:sz w:val="28"/>
          <w:szCs w:val="28"/>
        </w:rPr>
        <w:t>h</w:t>
      </w:r>
      <w:r w:rsidR="001304C8">
        <w:rPr>
          <w:sz w:val="28"/>
          <w:szCs w:val="28"/>
        </w:rPr>
        <w:t>G</w:t>
      </w:r>
      <w:r>
        <w:rPr>
          <w:sz w:val="28"/>
          <w:szCs w:val="28"/>
        </w:rPr>
        <w:t>S</w:t>
      </w:r>
      <w:proofErr w:type="spellEnd"/>
      <w:r w:rsidR="001304C8">
        <w:rPr>
          <w:sz w:val="28"/>
          <w:szCs w:val="28"/>
        </w:rPr>
        <w:t xml:space="preserve"> group, </w:t>
      </w:r>
      <w:r w:rsidR="0020456A">
        <w:rPr>
          <w:sz w:val="28"/>
          <w:szCs w:val="28"/>
        </w:rPr>
        <w:t xml:space="preserve">the </w:t>
      </w:r>
      <w:r w:rsidR="00CE7BC8">
        <w:rPr>
          <w:sz w:val="28"/>
          <w:szCs w:val="28"/>
        </w:rPr>
        <w:t xml:space="preserve">IOP </w:t>
      </w:r>
      <w:r>
        <w:rPr>
          <w:sz w:val="28"/>
          <w:szCs w:val="28"/>
        </w:rPr>
        <w:t>altered</w:t>
      </w:r>
      <w:r w:rsidR="00CE7BC8" w:rsidRPr="00CE7BC8">
        <w:rPr>
          <w:sz w:val="28"/>
          <w:szCs w:val="28"/>
        </w:rPr>
        <w:t xml:space="preserve"> </w:t>
      </w:r>
      <w:r w:rsidR="00CE7BC8">
        <w:rPr>
          <w:sz w:val="28"/>
          <w:szCs w:val="28"/>
        </w:rPr>
        <w:t>from</w:t>
      </w:r>
      <w:r w:rsidR="00776ACF">
        <w:rPr>
          <w:sz w:val="20"/>
          <w:szCs w:val="20"/>
        </w:rPr>
        <w:t xml:space="preserve"> </w:t>
      </w:r>
      <w:r w:rsidR="00776ACF" w:rsidRPr="00A24796">
        <w:rPr>
          <w:sz w:val="28"/>
          <w:szCs w:val="28"/>
        </w:rPr>
        <w:t>34±0.29</w:t>
      </w:r>
      <w:r w:rsidR="0020456A">
        <w:rPr>
          <w:sz w:val="28"/>
          <w:szCs w:val="28"/>
        </w:rPr>
        <w:t xml:space="preserve"> mmHg</w:t>
      </w:r>
      <w:r w:rsidR="00A24796">
        <w:rPr>
          <w:sz w:val="28"/>
          <w:szCs w:val="28"/>
        </w:rPr>
        <w:t xml:space="preserve"> </w:t>
      </w:r>
      <w:r w:rsidR="003F3C25">
        <w:rPr>
          <w:sz w:val="28"/>
          <w:szCs w:val="28"/>
        </w:rPr>
        <w:t xml:space="preserve">before surgery </w:t>
      </w:r>
      <w:r w:rsidR="00CE7BC8" w:rsidRPr="00A24796">
        <w:rPr>
          <w:sz w:val="28"/>
          <w:szCs w:val="28"/>
        </w:rPr>
        <w:t>to</w:t>
      </w:r>
      <w:r w:rsidR="001304C8">
        <w:rPr>
          <w:sz w:val="28"/>
          <w:szCs w:val="28"/>
        </w:rPr>
        <w:t xml:space="preserve"> </w:t>
      </w:r>
      <w:r w:rsidR="00776ACF" w:rsidRPr="00A24796">
        <w:rPr>
          <w:sz w:val="28"/>
          <w:szCs w:val="28"/>
        </w:rPr>
        <w:t xml:space="preserve">26±1.2 </w:t>
      </w:r>
      <w:r w:rsidR="0020456A">
        <w:rPr>
          <w:sz w:val="28"/>
          <w:szCs w:val="28"/>
        </w:rPr>
        <w:t xml:space="preserve">mmHg </w:t>
      </w:r>
      <w:r w:rsidR="003F3C25">
        <w:rPr>
          <w:sz w:val="28"/>
          <w:szCs w:val="28"/>
        </w:rPr>
        <w:t>one</w:t>
      </w:r>
      <w:r w:rsidR="0020456A">
        <w:rPr>
          <w:sz w:val="28"/>
          <w:szCs w:val="28"/>
        </w:rPr>
        <w:t xml:space="preserve"> </w:t>
      </w:r>
      <w:r>
        <w:rPr>
          <w:sz w:val="28"/>
          <w:szCs w:val="28"/>
        </w:rPr>
        <w:t>week</w:t>
      </w:r>
      <w:r w:rsidR="0020456A">
        <w:rPr>
          <w:sz w:val="28"/>
          <w:szCs w:val="28"/>
        </w:rPr>
        <w:t xml:space="preserve"> </w:t>
      </w:r>
      <w:r w:rsidR="003F3C25">
        <w:rPr>
          <w:sz w:val="28"/>
          <w:szCs w:val="28"/>
        </w:rPr>
        <w:t xml:space="preserve">after surgery </w:t>
      </w:r>
      <w:r w:rsidR="0020456A">
        <w:rPr>
          <w:sz w:val="28"/>
          <w:szCs w:val="28"/>
        </w:rPr>
        <w:t>(p&lt;0.0001). However,</w:t>
      </w:r>
      <w:r w:rsidR="00CE7BC8">
        <w:rPr>
          <w:sz w:val="28"/>
          <w:szCs w:val="28"/>
        </w:rPr>
        <w:t xml:space="preserve"> </w:t>
      </w:r>
      <w:r w:rsidR="0020456A">
        <w:rPr>
          <w:sz w:val="28"/>
          <w:szCs w:val="28"/>
        </w:rPr>
        <w:t xml:space="preserve">the IOP lowering </w:t>
      </w:r>
      <w:r>
        <w:rPr>
          <w:sz w:val="28"/>
          <w:szCs w:val="28"/>
        </w:rPr>
        <w:t>medications</w:t>
      </w:r>
      <w:r w:rsidR="0020456A">
        <w:rPr>
          <w:sz w:val="28"/>
          <w:szCs w:val="28"/>
        </w:rPr>
        <w:t xml:space="preserve"> were </w:t>
      </w:r>
      <w:r>
        <w:rPr>
          <w:sz w:val="28"/>
          <w:szCs w:val="28"/>
        </w:rPr>
        <w:t>reintroduced</w:t>
      </w:r>
      <w:r w:rsidR="0020456A">
        <w:rPr>
          <w:sz w:val="28"/>
          <w:szCs w:val="28"/>
        </w:rPr>
        <w:t xml:space="preserve"> to </w:t>
      </w:r>
      <w:r>
        <w:rPr>
          <w:sz w:val="28"/>
          <w:szCs w:val="28"/>
        </w:rPr>
        <w:t>reach</w:t>
      </w:r>
      <w:r w:rsidR="0020456A">
        <w:rPr>
          <w:sz w:val="28"/>
          <w:szCs w:val="28"/>
        </w:rPr>
        <w:t xml:space="preserve"> the target IOP.</w:t>
      </w:r>
      <w:r w:rsidR="00D16E70">
        <w:rPr>
          <w:sz w:val="28"/>
          <w:szCs w:val="28"/>
        </w:rPr>
        <w:t xml:space="preserve"> </w:t>
      </w:r>
      <w:r w:rsidR="0020456A">
        <w:rPr>
          <w:sz w:val="28"/>
          <w:szCs w:val="28"/>
        </w:rPr>
        <w:t xml:space="preserve">By the end of the </w:t>
      </w:r>
      <w:r>
        <w:rPr>
          <w:sz w:val="28"/>
          <w:szCs w:val="28"/>
        </w:rPr>
        <w:t>24-month follow-up</w:t>
      </w:r>
      <w:r w:rsidR="0020456A">
        <w:rPr>
          <w:sz w:val="28"/>
          <w:szCs w:val="28"/>
        </w:rPr>
        <w:t>,</w:t>
      </w:r>
      <w:r w:rsidR="00CE7BC8">
        <w:rPr>
          <w:sz w:val="28"/>
          <w:szCs w:val="28"/>
        </w:rPr>
        <w:t xml:space="preserve"> </w:t>
      </w:r>
      <w:r w:rsidR="007A4421">
        <w:rPr>
          <w:sz w:val="28"/>
          <w:szCs w:val="28"/>
        </w:rPr>
        <w:t>the mean</w:t>
      </w:r>
      <w:r w:rsidR="00CE7BC8">
        <w:rPr>
          <w:sz w:val="28"/>
          <w:szCs w:val="28"/>
        </w:rPr>
        <w:t xml:space="preserve"> number </w:t>
      </w:r>
      <w:r w:rsidR="00CB6DC7">
        <w:rPr>
          <w:sz w:val="28"/>
          <w:szCs w:val="28"/>
        </w:rPr>
        <w:t xml:space="preserve">of IOP lowering </w:t>
      </w:r>
      <w:r>
        <w:rPr>
          <w:sz w:val="28"/>
          <w:szCs w:val="28"/>
        </w:rPr>
        <w:t>medications</w:t>
      </w:r>
      <w:r w:rsidR="00CB6DC7">
        <w:rPr>
          <w:sz w:val="28"/>
          <w:szCs w:val="28"/>
        </w:rPr>
        <w:t xml:space="preserve"> </w:t>
      </w:r>
      <w:r>
        <w:rPr>
          <w:sz w:val="28"/>
          <w:szCs w:val="28"/>
        </w:rPr>
        <w:t>dropped from</w:t>
      </w:r>
      <w:r w:rsidR="00CB6DC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CB6DC7">
        <w:rPr>
          <w:sz w:val="28"/>
          <w:szCs w:val="28"/>
        </w:rPr>
        <w:t xml:space="preserve"> to </w:t>
      </w:r>
      <w:r>
        <w:rPr>
          <w:sz w:val="28"/>
          <w:szCs w:val="28"/>
        </w:rPr>
        <w:t>2</w:t>
      </w:r>
      <w:r w:rsidR="00CB6DC7">
        <w:rPr>
          <w:sz w:val="28"/>
          <w:szCs w:val="28"/>
        </w:rPr>
        <w:t>.</w:t>
      </w:r>
      <w:r w:rsidR="00D16E70">
        <w:rPr>
          <w:sz w:val="28"/>
          <w:szCs w:val="28"/>
        </w:rPr>
        <w:t xml:space="preserve"> </w:t>
      </w:r>
      <w:r w:rsidR="00E3206D">
        <w:rPr>
          <w:sz w:val="28"/>
          <w:szCs w:val="28"/>
        </w:rPr>
        <w:t>(Figure</w:t>
      </w:r>
      <w:r w:rsidR="0013545F">
        <w:rPr>
          <w:b/>
          <w:bCs/>
          <w:sz w:val="28"/>
          <w:szCs w:val="28"/>
        </w:rPr>
        <w:t xml:space="preserve"> </w:t>
      </w:r>
      <w:r w:rsidR="00776ACF" w:rsidRPr="006243B0">
        <w:rPr>
          <w:b/>
          <w:bCs/>
          <w:sz w:val="28"/>
          <w:szCs w:val="28"/>
        </w:rPr>
        <w:t>4</w:t>
      </w:r>
      <w:r w:rsidR="006243B0">
        <w:rPr>
          <w:b/>
          <w:bCs/>
          <w:sz w:val="28"/>
          <w:szCs w:val="28"/>
        </w:rPr>
        <w:t>)</w:t>
      </w:r>
    </w:p>
    <w:p w14:paraId="5B386645" w14:textId="743DC2B1" w:rsidR="00776ACF" w:rsidRPr="0013545F" w:rsidRDefault="00776ACF" w:rsidP="00B552B8">
      <w:pPr>
        <w:spacing w:line="480" w:lineRule="auto"/>
        <w:rPr>
          <w:sz w:val="28"/>
          <w:szCs w:val="28"/>
        </w:rPr>
      </w:pPr>
    </w:p>
    <w:p w14:paraId="775E9779" w14:textId="0796423C" w:rsidR="00114BFB" w:rsidRDefault="003F3C25" w:rsidP="00B552B8">
      <w:pPr>
        <w:spacing w:line="480" w:lineRule="auto"/>
        <w:ind w:firstLine="567"/>
        <w:jc w:val="both"/>
      </w:pPr>
      <w:r>
        <w:rPr>
          <w:sz w:val="28"/>
          <w:szCs w:val="28"/>
        </w:rPr>
        <w:t>The</w:t>
      </w:r>
      <w:r w:rsidR="00766AE4">
        <w:rPr>
          <w:sz w:val="28"/>
          <w:szCs w:val="28"/>
        </w:rPr>
        <w:t xml:space="preserve"> percentage of IOP reduction in the study groups</w:t>
      </w:r>
      <w:r>
        <w:rPr>
          <w:sz w:val="28"/>
          <w:szCs w:val="28"/>
        </w:rPr>
        <w:t xml:space="preserve"> was compared</w:t>
      </w:r>
      <w:r w:rsidR="00B70D24">
        <w:rPr>
          <w:sz w:val="28"/>
          <w:szCs w:val="28"/>
        </w:rPr>
        <w:t xml:space="preserve"> by the end of the </w:t>
      </w:r>
      <w:r>
        <w:rPr>
          <w:sz w:val="28"/>
          <w:szCs w:val="28"/>
        </w:rPr>
        <w:t>24-month follow-up period</w:t>
      </w:r>
      <w:r w:rsidR="00766AE4">
        <w:rPr>
          <w:sz w:val="28"/>
          <w:szCs w:val="28"/>
        </w:rPr>
        <w:t>.</w:t>
      </w:r>
      <w:r w:rsidR="00D16E70">
        <w:rPr>
          <w:sz w:val="28"/>
          <w:szCs w:val="28"/>
        </w:rPr>
        <w:t xml:space="preserve"> </w:t>
      </w:r>
      <w:r w:rsidR="00E8042B">
        <w:rPr>
          <w:sz w:val="28"/>
          <w:szCs w:val="28"/>
        </w:rPr>
        <w:t>Those</w:t>
      </w:r>
      <w:r w:rsidR="000605EE" w:rsidRPr="006243B0">
        <w:rPr>
          <w:sz w:val="28"/>
          <w:szCs w:val="28"/>
        </w:rPr>
        <w:t xml:space="preserve"> percentages</w:t>
      </w:r>
      <w:r w:rsidR="009A6D88">
        <w:rPr>
          <w:sz w:val="28"/>
          <w:szCs w:val="28"/>
        </w:rPr>
        <w:t xml:space="preserve"> </w:t>
      </w:r>
      <w:r w:rsidR="000605EE" w:rsidRPr="006243B0">
        <w:rPr>
          <w:sz w:val="28"/>
          <w:szCs w:val="28"/>
        </w:rPr>
        <w:t>were</w:t>
      </w:r>
      <w:r w:rsidR="00E3206D" w:rsidRPr="006243B0">
        <w:rPr>
          <w:sz w:val="28"/>
          <w:szCs w:val="28"/>
        </w:rPr>
        <w:t xml:space="preserve"> 11.43</w:t>
      </w:r>
      <w:r w:rsidR="000605EE" w:rsidRPr="006243B0">
        <w:rPr>
          <w:sz w:val="28"/>
          <w:szCs w:val="28"/>
        </w:rPr>
        <w:t>%</w:t>
      </w:r>
      <w:r w:rsidR="00F1269A">
        <w:rPr>
          <w:sz w:val="28"/>
          <w:szCs w:val="28"/>
        </w:rPr>
        <w:t>, 15.15%</w:t>
      </w:r>
      <w:r w:rsidR="000605EE" w:rsidRPr="006243B0">
        <w:rPr>
          <w:sz w:val="28"/>
          <w:szCs w:val="28"/>
        </w:rPr>
        <w:t>,</w:t>
      </w:r>
      <w:r w:rsidR="00F1269A">
        <w:rPr>
          <w:sz w:val="28"/>
          <w:szCs w:val="28"/>
        </w:rPr>
        <w:t xml:space="preserve"> </w:t>
      </w:r>
      <w:r w:rsidR="000605EE" w:rsidRPr="006243B0">
        <w:rPr>
          <w:sz w:val="28"/>
          <w:szCs w:val="28"/>
        </w:rPr>
        <w:t>23.53%</w:t>
      </w:r>
      <w:r w:rsidR="00F1269A">
        <w:rPr>
          <w:sz w:val="28"/>
          <w:szCs w:val="28"/>
        </w:rPr>
        <w:t xml:space="preserve">, and 54.8% </w:t>
      </w:r>
      <w:r w:rsidR="000605EE" w:rsidRPr="006243B0">
        <w:rPr>
          <w:sz w:val="28"/>
          <w:szCs w:val="28"/>
        </w:rPr>
        <w:t>in</w:t>
      </w:r>
      <w:r w:rsidR="00F12A36">
        <w:rPr>
          <w:sz w:val="28"/>
          <w:szCs w:val="28"/>
        </w:rPr>
        <w:t xml:space="preserve"> </w:t>
      </w:r>
      <w:proofErr w:type="spellStart"/>
      <w:r w:rsidR="006E0144">
        <w:rPr>
          <w:sz w:val="28"/>
          <w:szCs w:val="28"/>
        </w:rPr>
        <w:t>P</w:t>
      </w:r>
      <w:r w:rsidR="00B70D24">
        <w:rPr>
          <w:sz w:val="28"/>
          <w:szCs w:val="28"/>
        </w:rPr>
        <w:t>h</w:t>
      </w:r>
      <w:r w:rsidR="006E0144">
        <w:rPr>
          <w:sz w:val="28"/>
          <w:szCs w:val="28"/>
        </w:rPr>
        <w:t>S</w:t>
      </w:r>
      <w:proofErr w:type="spellEnd"/>
      <w:r w:rsidR="00F1269A">
        <w:rPr>
          <w:sz w:val="28"/>
          <w:szCs w:val="28"/>
        </w:rPr>
        <w:t xml:space="preserve">, </w:t>
      </w:r>
      <w:proofErr w:type="spellStart"/>
      <w:r w:rsidR="00F1269A">
        <w:rPr>
          <w:sz w:val="28"/>
          <w:szCs w:val="28"/>
        </w:rPr>
        <w:t>PhM</w:t>
      </w:r>
      <w:proofErr w:type="spellEnd"/>
      <w:r w:rsidR="00E3206D">
        <w:rPr>
          <w:sz w:val="28"/>
          <w:szCs w:val="28"/>
        </w:rPr>
        <w:t>, and</w:t>
      </w:r>
      <w:r w:rsidR="000605EE" w:rsidRPr="006243B0">
        <w:rPr>
          <w:sz w:val="28"/>
          <w:szCs w:val="28"/>
        </w:rPr>
        <w:t xml:space="preserve"> </w:t>
      </w:r>
      <w:proofErr w:type="spellStart"/>
      <w:r w:rsidR="006E0144">
        <w:rPr>
          <w:sz w:val="28"/>
          <w:szCs w:val="28"/>
        </w:rPr>
        <w:t>P</w:t>
      </w:r>
      <w:r w:rsidR="00B70D24">
        <w:rPr>
          <w:sz w:val="28"/>
          <w:szCs w:val="28"/>
        </w:rPr>
        <w:t>h</w:t>
      </w:r>
      <w:r w:rsidR="006E0144">
        <w:rPr>
          <w:sz w:val="28"/>
          <w:szCs w:val="28"/>
        </w:rPr>
        <w:t>G</w:t>
      </w:r>
      <w:r w:rsidR="00B70D24">
        <w:rPr>
          <w:sz w:val="28"/>
          <w:szCs w:val="28"/>
        </w:rPr>
        <w:t>S</w:t>
      </w:r>
      <w:proofErr w:type="spellEnd"/>
      <w:r w:rsidR="00F1269A">
        <w:rPr>
          <w:sz w:val="28"/>
          <w:szCs w:val="28"/>
        </w:rPr>
        <w:t xml:space="preserve">, and </w:t>
      </w:r>
      <w:proofErr w:type="spellStart"/>
      <w:r w:rsidR="00F1269A">
        <w:rPr>
          <w:sz w:val="28"/>
          <w:szCs w:val="28"/>
        </w:rPr>
        <w:t>PhGM</w:t>
      </w:r>
      <w:proofErr w:type="spellEnd"/>
      <w:r w:rsidR="006E0144">
        <w:rPr>
          <w:sz w:val="28"/>
          <w:szCs w:val="28"/>
        </w:rPr>
        <w:t xml:space="preserve"> groups</w:t>
      </w:r>
      <w:r w:rsidR="009A6D88">
        <w:rPr>
          <w:sz w:val="28"/>
          <w:szCs w:val="28"/>
        </w:rPr>
        <w:t>,</w:t>
      </w:r>
      <w:r w:rsidR="000605EE" w:rsidRPr="006243B0">
        <w:rPr>
          <w:sz w:val="28"/>
          <w:szCs w:val="28"/>
        </w:rPr>
        <w:t xml:space="preserve"> respectively</w:t>
      </w:r>
      <w:r w:rsidR="00114BFB" w:rsidRPr="006243B0">
        <w:rPr>
          <w:sz w:val="28"/>
          <w:szCs w:val="28"/>
        </w:rPr>
        <w:t>.</w:t>
      </w:r>
      <w:r w:rsidR="00D16E70">
        <w:rPr>
          <w:sz w:val="28"/>
          <w:szCs w:val="28"/>
        </w:rPr>
        <w:t xml:space="preserve"> </w:t>
      </w:r>
      <w:r w:rsidR="006243B0">
        <w:rPr>
          <w:sz w:val="28"/>
          <w:szCs w:val="28"/>
        </w:rPr>
        <w:t>(</w:t>
      </w:r>
      <w:r w:rsidR="00E3206D" w:rsidRPr="006243B0">
        <w:rPr>
          <w:b/>
          <w:bCs/>
          <w:sz w:val="28"/>
          <w:szCs w:val="28"/>
        </w:rPr>
        <w:t>Fig</w:t>
      </w:r>
      <w:r w:rsidR="006243B0">
        <w:rPr>
          <w:b/>
          <w:bCs/>
          <w:sz w:val="28"/>
          <w:szCs w:val="28"/>
        </w:rPr>
        <w:t xml:space="preserve"> </w:t>
      </w:r>
      <w:r w:rsidR="00114BFB" w:rsidRPr="006243B0">
        <w:rPr>
          <w:b/>
          <w:bCs/>
          <w:sz w:val="28"/>
          <w:szCs w:val="28"/>
        </w:rPr>
        <w:t>5</w:t>
      </w:r>
      <w:r w:rsidR="00E3206D">
        <w:rPr>
          <w:b/>
          <w:bCs/>
          <w:sz w:val="28"/>
          <w:szCs w:val="28"/>
        </w:rPr>
        <w:t>)</w:t>
      </w:r>
      <w:r w:rsidR="00E3206D">
        <w:t>.</w:t>
      </w:r>
      <w:r w:rsidR="00114BFB" w:rsidRPr="00F7639B">
        <w:t xml:space="preserve">  </w:t>
      </w:r>
    </w:p>
    <w:p w14:paraId="6DA60478" w14:textId="15D892D2" w:rsidR="00766AE4" w:rsidRDefault="00114BFB" w:rsidP="00DA7ED3">
      <w:pPr>
        <w:spacing w:line="480" w:lineRule="auto"/>
      </w:pPr>
      <w:r w:rsidRPr="00F7639B">
        <w:t xml:space="preserve">                                    </w:t>
      </w:r>
    </w:p>
    <w:p w14:paraId="7413A18B" w14:textId="4B53F45E" w:rsidR="00114BFB" w:rsidRPr="006D35FA" w:rsidRDefault="00E8042B" w:rsidP="00B552B8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Moreover, </w:t>
      </w:r>
      <w:r w:rsidR="00766AE4" w:rsidRPr="00766AE4">
        <w:rPr>
          <w:sz w:val="28"/>
          <w:szCs w:val="28"/>
        </w:rPr>
        <w:t>t</w:t>
      </w:r>
      <w:r w:rsidR="00114BFB" w:rsidRPr="00766AE4">
        <w:rPr>
          <w:sz w:val="28"/>
          <w:szCs w:val="28"/>
        </w:rPr>
        <w:t>he</w:t>
      </w:r>
      <w:r w:rsidR="00766AE4">
        <w:rPr>
          <w:sz w:val="28"/>
          <w:szCs w:val="28"/>
        </w:rPr>
        <w:t xml:space="preserve"> number of IOP lowering </w:t>
      </w:r>
      <w:r w:rsidR="00426973">
        <w:rPr>
          <w:sz w:val="28"/>
          <w:szCs w:val="28"/>
        </w:rPr>
        <w:t>medications</w:t>
      </w:r>
      <w:r w:rsidR="00766AE4">
        <w:rPr>
          <w:sz w:val="28"/>
          <w:szCs w:val="28"/>
        </w:rPr>
        <w:t xml:space="preserve"> used by patients </w:t>
      </w:r>
      <w:r w:rsidR="00D708D4">
        <w:rPr>
          <w:sz w:val="28"/>
          <w:szCs w:val="28"/>
        </w:rPr>
        <w:t>during</w:t>
      </w:r>
      <w:r w:rsidR="00766AE4">
        <w:rPr>
          <w:sz w:val="28"/>
          <w:szCs w:val="28"/>
        </w:rPr>
        <w:t xml:space="preserve"> </w:t>
      </w:r>
      <w:r w:rsidR="00941EB0">
        <w:rPr>
          <w:sz w:val="28"/>
          <w:szCs w:val="28"/>
        </w:rPr>
        <w:t xml:space="preserve">the </w:t>
      </w:r>
      <w:r w:rsidR="003F3C25">
        <w:rPr>
          <w:sz w:val="28"/>
          <w:szCs w:val="28"/>
        </w:rPr>
        <w:t>24-month follow-up period was compared as well</w:t>
      </w:r>
      <w:r w:rsidR="00114BFB">
        <w:rPr>
          <w:sz w:val="28"/>
          <w:szCs w:val="28"/>
        </w:rPr>
        <w:t>.</w:t>
      </w:r>
      <w:r w:rsidR="00D16E70">
        <w:rPr>
          <w:sz w:val="28"/>
          <w:szCs w:val="28"/>
        </w:rPr>
        <w:t xml:space="preserve"> </w:t>
      </w:r>
      <w:r w:rsidR="003C7BEC">
        <w:rPr>
          <w:sz w:val="28"/>
          <w:szCs w:val="28"/>
        </w:rPr>
        <w:t>We did not record a</w:t>
      </w:r>
      <w:r w:rsidR="00123419">
        <w:rPr>
          <w:sz w:val="28"/>
          <w:szCs w:val="28"/>
        </w:rPr>
        <w:t xml:space="preserve"> change in the number of </w:t>
      </w:r>
      <w:r w:rsidR="00634E28">
        <w:rPr>
          <w:sz w:val="28"/>
          <w:szCs w:val="28"/>
        </w:rPr>
        <w:t>medications</w:t>
      </w:r>
      <w:r w:rsidR="00426973">
        <w:rPr>
          <w:sz w:val="28"/>
          <w:szCs w:val="28"/>
        </w:rPr>
        <w:t xml:space="preserve"> in</w:t>
      </w:r>
      <w:r w:rsidR="00123419">
        <w:rPr>
          <w:sz w:val="28"/>
          <w:szCs w:val="28"/>
        </w:rPr>
        <w:t xml:space="preserve"> </w:t>
      </w:r>
      <w:proofErr w:type="spellStart"/>
      <w:r w:rsidR="00123419">
        <w:rPr>
          <w:sz w:val="28"/>
          <w:szCs w:val="28"/>
        </w:rPr>
        <w:t>P</w:t>
      </w:r>
      <w:r w:rsidR="00426973">
        <w:rPr>
          <w:sz w:val="28"/>
          <w:szCs w:val="28"/>
        </w:rPr>
        <w:t>hM</w:t>
      </w:r>
      <w:proofErr w:type="spellEnd"/>
      <w:r w:rsidR="00123419">
        <w:rPr>
          <w:sz w:val="28"/>
          <w:szCs w:val="28"/>
        </w:rPr>
        <w:t xml:space="preserve"> </w:t>
      </w:r>
      <w:r w:rsidR="00E3206D">
        <w:rPr>
          <w:sz w:val="28"/>
          <w:szCs w:val="28"/>
        </w:rPr>
        <w:t xml:space="preserve">and </w:t>
      </w:r>
      <w:proofErr w:type="spellStart"/>
      <w:r w:rsidR="00E3206D" w:rsidRPr="00E82462">
        <w:rPr>
          <w:sz w:val="28"/>
          <w:szCs w:val="28"/>
        </w:rPr>
        <w:t>P</w:t>
      </w:r>
      <w:r w:rsidR="00426973">
        <w:rPr>
          <w:sz w:val="28"/>
          <w:szCs w:val="28"/>
        </w:rPr>
        <w:t>hS</w:t>
      </w:r>
      <w:proofErr w:type="spellEnd"/>
      <w:r w:rsidR="00123419">
        <w:rPr>
          <w:sz w:val="28"/>
          <w:szCs w:val="28"/>
        </w:rPr>
        <w:t xml:space="preserve"> groups.</w:t>
      </w:r>
      <w:r w:rsidR="00D16E70">
        <w:rPr>
          <w:sz w:val="28"/>
          <w:szCs w:val="28"/>
        </w:rPr>
        <w:t xml:space="preserve"> </w:t>
      </w:r>
      <w:r w:rsidR="003C7BEC">
        <w:rPr>
          <w:sz w:val="28"/>
          <w:szCs w:val="28"/>
        </w:rPr>
        <w:t>In contrary</w:t>
      </w:r>
      <w:r w:rsidR="00123419">
        <w:rPr>
          <w:sz w:val="28"/>
          <w:szCs w:val="28"/>
        </w:rPr>
        <w:t xml:space="preserve">, patients in </w:t>
      </w:r>
      <w:proofErr w:type="spellStart"/>
      <w:r w:rsidR="00123419">
        <w:rPr>
          <w:sz w:val="28"/>
          <w:szCs w:val="28"/>
        </w:rPr>
        <w:t>P</w:t>
      </w:r>
      <w:r w:rsidR="00426973">
        <w:rPr>
          <w:sz w:val="28"/>
          <w:szCs w:val="28"/>
        </w:rPr>
        <w:t>h</w:t>
      </w:r>
      <w:r w:rsidR="00123419">
        <w:rPr>
          <w:sz w:val="28"/>
          <w:szCs w:val="28"/>
        </w:rPr>
        <w:t>G</w:t>
      </w:r>
      <w:r w:rsidR="00426973">
        <w:rPr>
          <w:sz w:val="28"/>
          <w:szCs w:val="28"/>
        </w:rPr>
        <w:t>M</w:t>
      </w:r>
      <w:proofErr w:type="spellEnd"/>
      <w:r w:rsidR="00123419">
        <w:rPr>
          <w:sz w:val="28"/>
          <w:szCs w:val="28"/>
        </w:rPr>
        <w:t xml:space="preserve"> groups </w:t>
      </w:r>
      <w:r w:rsidR="00426973">
        <w:rPr>
          <w:sz w:val="28"/>
          <w:szCs w:val="28"/>
        </w:rPr>
        <w:t>needed</w:t>
      </w:r>
      <w:r w:rsidR="00123419">
        <w:rPr>
          <w:sz w:val="28"/>
          <w:szCs w:val="28"/>
        </w:rPr>
        <w:t xml:space="preserve"> no IOP lowering drops</w:t>
      </w:r>
      <w:r w:rsidR="00426973">
        <w:rPr>
          <w:sz w:val="28"/>
          <w:szCs w:val="28"/>
        </w:rPr>
        <w:t xml:space="preserve"> by the end of the study</w:t>
      </w:r>
      <w:r w:rsidR="00123419">
        <w:rPr>
          <w:sz w:val="28"/>
          <w:szCs w:val="28"/>
        </w:rPr>
        <w:t xml:space="preserve">, while patients in </w:t>
      </w:r>
      <w:proofErr w:type="spellStart"/>
      <w:r w:rsidR="00123419">
        <w:rPr>
          <w:sz w:val="28"/>
          <w:szCs w:val="28"/>
        </w:rPr>
        <w:t>P</w:t>
      </w:r>
      <w:r w:rsidR="00426973">
        <w:rPr>
          <w:sz w:val="28"/>
          <w:szCs w:val="28"/>
        </w:rPr>
        <w:t>h</w:t>
      </w:r>
      <w:r w:rsidR="00123419">
        <w:rPr>
          <w:sz w:val="28"/>
          <w:szCs w:val="28"/>
        </w:rPr>
        <w:t>G</w:t>
      </w:r>
      <w:r w:rsidR="00426973">
        <w:rPr>
          <w:sz w:val="28"/>
          <w:szCs w:val="28"/>
        </w:rPr>
        <w:t>S</w:t>
      </w:r>
      <w:proofErr w:type="spellEnd"/>
      <w:r w:rsidR="00123419">
        <w:rPr>
          <w:sz w:val="28"/>
          <w:szCs w:val="28"/>
        </w:rPr>
        <w:t xml:space="preserve"> groups </w:t>
      </w:r>
      <w:r w:rsidR="00426973">
        <w:rPr>
          <w:sz w:val="28"/>
          <w:szCs w:val="28"/>
        </w:rPr>
        <w:t>ended</w:t>
      </w:r>
      <w:r w:rsidR="00123419">
        <w:rPr>
          <w:sz w:val="28"/>
          <w:szCs w:val="28"/>
        </w:rPr>
        <w:t xml:space="preserve"> </w:t>
      </w:r>
      <w:r w:rsidR="00426973">
        <w:rPr>
          <w:sz w:val="28"/>
          <w:szCs w:val="28"/>
        </w:rPr>
        <w:t>with fewer</w:t>
      </w:r>
      <w:r w:rsidR="00123419">
        <w:rPr>
          <w:sz w:val="28"/>
          <w:szCs w:val="28"/>
        </w:rPr>
        <w:t xml:space="preserve"> </w:t>
      </w:r>
      <w:r w:rsidR="00426973">
        <w:rPr>
          <w:sz w:val="28"/>
          <w:szCs w:val="28"/>
        </w:rPr>
        <w:t>of IOP lowering</w:t>
      </w:r>
      <w:r w:rsidR="00123419">
        <w:rPr>
          <w:sz w:val="28"/>
          <w:szCs w:val="28"/>
        </w:rPr>
        <w:t xml:space="preserve"> </w:t>
      </w:r>
      <w:r w:rsidR="003C7BEC">
        <w:rPr>
          <w:sz w:val="28"/>
          <w:szCs w:val="28"/>
        </w:rPr>
        <w:t>drops</w:t>
      </w:r>
      <w:r w:rsidR="00123419">
        <w:rPr>
          <w:sz w:val="28"/>
          <w:szCs w:val="28"/>
        </w:rPr>
        <w:t>.</w:t>
      </w:r>
      <w:r w:rsidR="00D16E70">
        <w:rPr>
          <w:sz w:val="28"/>
          <w:szCs w:val="28"/>
        </w:rPr>
        <w:t xml:space="preserve"> </w:t>
      </w:r>
      <w:r w:rsidR="006243B0">
        <w:rPr>
          <w:sz w:val="28"/>
          <w:szCs w:val="28"/>
        </w:rPr>
        <w:t>(</w:t>
      </w:r>
      <w:r w:rsidR="00E3206D" w:rsidRPr="006243B0">
        <w:rPr>
          <w:b/>
          <w:bCs/>
          <w:sz w:val="28"/>
          <w:szCs w:val="28"/>
        </w:rPr>
        <w:t>Fig</w:t>
      </w:r>
      <w:r w:rsidR="00114BFB" w:rsidRPr="006243B0">
        <w:rPr>
          <w:b/>
          <w:bCs/>
          <w:sz w:val="28"/>
          <w:szCs w:val="28"/>
        </w:rPr>
        <w:t xml:space="preserve"> 6</w:t>
      </w:r>
      <w:r w:rsidR="006243B0">
        <w:rPr>
          <w:b/>
          <w:bCs/>
          <w:sz w:val="28"/>
          <w:szCs w:val="28"/>
        </w:rPr>
        <w:t>)</w:t>
      </w:r>
    </w:p>
    <w:p w14:paraId="490108C5" w14:textId="530CB307" w:rsidR="001A09CD" w:rsidRPr="001A09CD" w:rsidRDefault="001A09CD" w:rsidP="00B552B8">
      <w:pPr>
        <w:spacing w:line="480" w:lineRule="auto"/>
      </w:pPr>
    </w:p>
    <w:p w14:paraId="66B1A5C0" w14:textId="482C327B" w:rsidR="00114BFB" w:rsidRPr="00DA7ED3" w:rsidRDefault="005C280C" w:rsidP="007572BC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Figure</w:t>
      </w:r>
      <w:r w:rsidR="00B018F1" w:rsidRPr="00D71EDD">
        <w:rPr>
          <w:sz w:val="28"/>
          <w:szCs w:val="28"/>
        </w:rPr>
        <w:t xml:space="preserve"> (7) and table (4) </w:t>
      </w:r>
      <w:r w:rsidR="00634E28">
        <w:rPr>
          <w:sz w:val="28"/>
          <w:szCs w:val="28"/>
        </w:rPr>
        <w:t>show</w:t>
      </w:r>
      <w:r w:rsidR="00B018F1" w:rsidRPr="00D71EDD">
        <w:rPr>
          <w:sz w:val="28"/>
          <w:szCs w:val="28"/>
        </w:rPr>
        <w:t xml:space="preserve"> </w:t>
      </w:r>
      <w:r w:rsidR="007572BC">
        <w:rPr>
          <w:sz w:val="28"/>
          <w:szCs w:val="28"/>
        </w:rPr>
        <w:t xml:space="preserve">the </w:t>
      </w:r>
      <w:r w:rsidR="00634E28">
        <w:rPr>
          <w:sz w:val="28"/>
          <w:szCs w:val="28"/>
        </w:rPr>
        <w:t xml:space="preserve">change in </w:t>
      </w:r>
      <w:r w:rsidR="00B018F1" w:rsidRPr="00D71EDD">
        <w:rPr>
          <w:sz w:val="28"/>
          <w:szCs w:val="28"/>
        </w:rPr>
        <w:t>IOP</w:t>
      </w:r>
      <w:r w:rsidR="00E07700">
        <w:rPr>
          <w:sz w:val="28"/>
          <w:szCs w:val="28"/>
        </w:rPr>
        <w:t xml:space="preserve"> </w:t>
      </w:r>
      <w:r w:rsidR="00B018F1" w:rsidRPr="00D71EDD">
        <w:rPr>
          <w:sz w:val="28"/>
          <w:szCs w:val="28"/>
        </w:rPr>
        <w:t xml:space="preserve">and </w:t>
      </w:r>
      <w:r w:rsidR="007572BC">
        <w:rPr>
          <w:sz w:val="28"/>
          <w:szCs w:val="28"/>
        </w:rPr>
        <w:t xml:space="preserve">the </w:t>
      </w:r>
      <w:r w:rsidR="00B018F1" w:rsidRPr="00D71EDD">
        <w:rPr>
          <w:sz w:val="28"/>
          <w:szCs w:val="28"/>
        </w:rPr>
        <w:t xml:space="preserve">IOP lowering </w:t>
      </w:r>
      <w:r w:rsidR="00634E28">
        <w:rPr>
          <w:sz w:val="28"/>
          <w:szCs w:val="28"/>
        </w:rPr>
        <w:t>medications</w:t>
      </w:r>
      <w:r w:rsidR="00B018F1" w:rsidRPr="00D71EDD">
        <w:rPr>
          <w:sz w:val="28"/>
          <w:szCs w:val="28"/>
        </w:rPr>
        <w:t xml:space="preserve"> in the study groups</w:t>
      </w:r>
      <w:r w:rsidR="00D71EDD">
        <w:rPr>
          <w:sz w:val="28"/>
          <w:szCs w:val="28"/>
        </w:rPr>
        <w:t xml:space="preserve"> during the </w:t>
      </w:r>
      <w:r w:rsidR="00634E28">
        <w:rPr>
          <w:sz w:val="28"/>
          <w:szCs w:val="28"/>
        </w:rPr>
        <w:t>24-month</w:t>
      </w:r>
      <w:r w:rsidR="00D71EDD">
        <w:rPr>
          <w:sz w:val="28"/>
          <w:szCs w:val="28"/>
        </w:rPr>
        <w:t xml:space="preserve"> follow-up </w:t>
      </w:r>
      <w:r w:rsidR="00634E28">
        <w:rPr>
          <w:sz w:val="28"/>
          <w:szCs w:val="28"/>
        </w:rPr>
        <w:t>period</w:t>
      </w:r>
      <w:r w:rsidR="00D71EDD">
        <w:rPr>
          <w:sz w:val="28"/>
          <w:szCs w:val="28"/>
        </w:rPr>
        <w:t>.</w:t>
      </w:r>
    </w:p>
    <w:p w14:paraId="23B928A7" w14:textId="77777777" w:rsidR="00114BFB" w:rsidRPr="00114BFB" w:rsidRDefault="00114BFB" w:rsidP="00B552B8">
      <w:pPr>
        <w:spacing w:line="480" w:lineRule="auto"/>
        <w:jc w:val="both"/>
      </w:pPr>
    </w:p>
    <w:p w14:paraId="2B4D374B" w14:textId="27EBD0B1" w:rsidR="00283D1D" w:rsidRPr="006243B0" w:rsidRDefault="007572BC" w:rsidP="00B552B8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We did not record any</w:t>
      </w:r>
      <w:r w:rsidR="006A5CE2" w:rsidRPr="006243B0">
        <w:rPr>
          <w:sz w:val="28"/>
          <w:szCs w:val="28"/>
        </w:rPr>
        <w:t xml:space="preserve"> complications </w:t>
      </w:r>
      <w:r w:rsidR="00634E28">
        <w:rPr>
          <w:sz w:val="28"/>
          <w:szCs w:val="28"/>
        </w:rPr>
        <w:t xml:space="preserve">during surgery </w:t>
      </w:r>
      <w:r w:rsidR="006A5CE2" w:rsidRPr="006243B0">
        <w:rPr>
          <w:sz w:val="28"/>
          <w:szCs w:val="28"/>
        </w:rPr>
        <w:t xml:space="preserve">in </w:t>
      </w:r>
      <w:r w:rsidR="001F716E">
        <w:rPr>
          <w:sz w:val="28"/>
          <w:szCs w:val="28"/>
        </w:rPr>
        <w:t>groups</w:t>
      </w:r>
      <w:r w:rsidR="006A5CE2" w:rsidRPr="006243B0">
        <w:rPr>
          <w:sz w:val="28"/>
          <w:szCs w:val="28"/>
        </w:rPr>
        <w:t xml:space="preserve"> </w:t>
      </w:r>
      <w:proofErr w:type="spellStart"/>
      <w:r w:rsidR="00345D01" w:rsidRPr="006243B0">
        <w:rPr>
          <w:sz w:val="28"/>
          <w:szCs w:val="28"/>
        </w:rPr>
        <w:t>P</w:t>
      </w:r>
      <w:r w:rsidR="00634E28">
        <w:rPr>
          <w:sz w:val="28"/>
          <w:szCs w:val="28"/>
        </w:rPr>
        <w:t>hM</w:t>
      </w:r>
      <w:proofErr w:type="spellEnd"/>
      <w:r w:rsidR="00B018F1">
        <w:rPr>
          <w:sz w:val="28"/>
          <w:szCs w:val="28"/>
        </w:rPr>
        <w:t xml:space="preserve"> and </w:t>
      </w:r>
      <w:proofErr w:type="spellStart"/>
      <w:r w:rsidR="00B018F1">
        <w:rPr>
          <w:sz w:val="28"/>
          <w:szCs w:val="28"/>
        </w:rPr>
        <w:t>P</w:t>
      </w:r>
      <w:r w:rsidR="00634E28">
        <w:rPr>
          <w:sz w:val="28"/>
          <w:szCs w:val="28"/>
        </w:rPr>
        <w:t>h</w:t>
      </w:r>
      <w:r w:rsidR="00B018F1">
        <w:rPr>
          <w:sz w:val="28"/>
          <w:szCs w:val="28"/>
        </w:rPr>
        <w:t>s</w:t>
      </w:r>
      <w:r w:rsidR="00634E28">
        <w:rPr>
          <w:sz w:val="28"/>
          <w:szCs w:val="28"/>
        </w:rPr>
        <w:t>S</w:t>
      </w:r>
      <w:proofErr w:type="spellEnd"/>
      <w:r w:rsidR="00345D01" w:rsidRPr="006243B0">
        <w:rPr>
          <w:sz w:val="28"/>
          <w:szCs w:val="28"/>
        </w:rPr>
        <w:t>.</w:t>
      </w:r>
      <w:r w:rsidR="00D16E70">
        <w:rPr>
          <w:sz w:val="28"/>
          <w:szCs w:val="28"/>
        </w:rPr>
        <w:t xml:space="preserve"> </w:t>
      </w:r>
      <w:r w:rsidR="0068185E">
        <w:rPr>
          <w:sz w:val="28"/>
          <w:szCs w:val="28"/>
        </w:rPr>
        <w:t>In</w:t>
      </w:r>
      <w:r w:rsidR="00345D01" w:rsidRPr="006243B0">
        <w:rPr>
          <w:sz w:val="28"/>
          <w:szCs w:val="28"/>
        </w:rPr>
        <w:t xml:space="preserve"> </w:t>
      </w:r>
      <w:r w:rsidR="001F716E">
        <w:rPr>
          <w:sz w:val="28"/>
          <w:szCs w:val="28"/>
        </w:rPr>
        <w:t>group</w:t>
      </w:r>
      <w:r w:rsidR="00345D01" w:rsidRPr="006243B0">
        <w:rPr>
          <w:sz w:val="28"/>
          <w:szCs w:val="28"/>
        </w:rPr>
        <w:t xml:space="preserve"> </w:t>
      </w:r>
      <w:proofErr w:type="spellStart"/>
      <w:r w:rsidR="00345D01" w:rsidRPr="006243B0">
        <w:rPr>
          <w:sz w:val="28"/>
          <w:szCs w:val="28"/>
        </w:rPr>
        <w:t>P</w:t>
      </w:r>
      <w:r w:rsidR="00634E28">
        <w:rPr>
          <w:sz w:val="28"/>
          <w:szCs w:val="28"/>
        </w:rPr>
        <w:t>h</w:t>
      </w:r>
      <w:r w:rsidR="00345D01" w:rsidRPr="006243B0">
        <w:rPr>
          <w:sz w:val="28"/>
          <w:szCs w:val="28"/>
        </w:rPr>
        <w:t>G</w:t>
      </w:r>
      <w:proofErr w:type="spellEnd"/>
      <w:r w:rsidR="00345D01" w:rsidRPr="006243B0">
        <w:rPr>
          <w:sz w:val="28"/>
          <w:szCs w:val="28"/>
        </w:rPr>
        <w:t xml:space="preserve">, </w:t>
      </w:r>
      <w:r w:rsidR="00634E28">
        <w:rPr>
          <w:sz w:val="28"/>
          <w:szCs w:val="28"/>
        </w:rPr>
        <w:t xml:space="preserve">we encountered </w:t>
      </w:r>
      <w:r w:rsidR="006A5CE2" w:rsidRPr="006243B0">
        <w:rPr>
          <w:sz w:val="28"/>
          <w:szCs w:val="28"/>
        </w:rPr>
        <w:t xml:space="preserve">hyphema </w:t>
      </w:r>
      <w:r w:rsidR="00345D01" w:rsidRPr="006243B0">
        <w:rPr>
          <w:sz w:val="28"/>
          <w:szCs w:val="28"/>
        </w:rPr>
        <w:t xml:space="preserve">in </w:t>
      </w:r>
      <w:r w:rsidR="008D32A1">
        <w:rPr>
          <w:sz w:val="28"/>
          <w:szCs w:val="28"/>
        </w:rPr>
        <w:t>eight</w:t>
      </w:r>
      <w:r w:rsidR="00345D01" w:rsidRPr="006243B0">
        <w:rPr>
          <w:sz w:val="28"/>
          <w:szCs w:val="28"/>
        </w:rPr>
        <w:t xml:space="preserve"> </w:t>
      </w:r>
      <w:r w:rsidR="00D71EDD">
        <w:rPr>
          <w:sz w:val="28"/>
          <w:szCs w:val="28"/>
        </w:rPr>
        <w:t>eyes</w:t>
      </w:r>
      <w:r w:rsidR="00BB05E5" w:rsidRPr="006243B0">
        <w:rPr>
          <w:sz w:val="28"/>
          <w:szCs w:val="28"/>
        </w:rPr>
        <w:t xml:space="preserve"> </w:t>
      </w:r>
      <w:r w:rsidR="00634E28">
        <w:rPr>
          <w:sz w:val="28"/>
          <w:szCs w:val="28"/>
        </w:rPr>
        <w:t>during</w:t>
      </w:r>
      <w:r w:rsidR="00BB05E5" w:rsidRPr="006243B0">
        <w:rPr>
          <w:sz w:val="28"/>
          <w:szCs w:val="28"/>
        </w:rPr>
        <w:t xml:space="preserve"> trabecular meshwork</w:t>
      </w:r>
      <w:r w:rsidR="00634E28">
        <w:rPr>
          <w:sz w:val="28"/>
          <w:szCs w:val="28"/>
        </w:rPr>
        <w:t xml:space="preserve"> incision</w:t>
      </w:r>
      <w:r w:rsidR="00055AFE">
        <w:rPr>
          <w:sz w:val="28"/>
          <w:szCs w:val="28"/>
        </w:rPr>
        <w:t xml:space="preserve"> </w:t>
      </w:r>
      <w:r w:rsidR="00055AFE" w:rsidRPr="00055AFE">
        <w:rPr>
          <w:b/>
          <w:bCs/>
          <w:sz w:val="28"/>
          <w:szCs w:val="28"/>
        </w:rPr>
        <w:t>Figure (8)</w:t>
      </w:r>
      <w:r w:rsidR="000A4A34">
        <w:rPr>
          <w:sz w:val="28"/>
          <w:szCs w:val="28"/>
        </w:rPr>
        <w:t xml:space="preserve"> </w:t>
      </w:r>
      <w:r w:rsidR="005620DC">
        <w:rPr>
          <w:sz w:val="28"/>
          <w:szCs w:val="28"/>
        </w:rPr>
        <w:t>(</w:t>
      </w:r>
      <w:r>
        <w:rPr>
          <w:sz w:val="28"/>
          <w:szCs w:val="28"/>
        </w:rPr>
        <w:t>six</w:t>
      </w:r>
      <w:r w:rsidR="005620DC">
        <w:rPr>
          <w:sz w:val="28"/>
          <w:szCs w:val="28"/>
        </w:rPr>
        <w:t xml:space="preserve"> eyes and </w:t>
      </w:r>
      <w:r w:rsidR="008D32A1">
        <w:rPr>
          <w:sz w:val="28"/>
          <w:szCs w:val="28"/>
        </w:rPr>
        <w:t>two</w:t>
      </w:r>
      <w:r w:rsidR="005620DC">
        <w:rPr>
          <w:sz w:val="28"/>
          <w:szCs w:val="28"/>
        </w:rPr>
        <w:t xml:space="preserve"> eyes in </w:t>
      </w:r>
      <w:proofErr w:type="spellStart"/>
      <w:r w:rsidR="005620DC">
        <w:rPr>
          <w:sz w:val="28"/>
          <w:szCs w:val="28"/>
        </w:rPr>
        <w:t>P</w:t>
      </w:r>
      <w:r w:rsidR="00634E28">
        <w:rPr>
          <w:sz w:val="28"/>
          <w:szCs w:val="28"/>
        </w:rPr>
        <w:t>h</w:t>
      </w:r>
      <w:r w:rsidR="005620DC">
        <w:rPr>
          <w:sz w:val="28"/>
          <w:szCs w:val="28"/>
        </w:rPr>
        <w:t>G</w:t>
      </w:r>
      <w:r w:rsidR="00634E28">
        <w:rPr>
          <w:sz w:val="28"/>
          <w:szCs w:val="28"/>
        </w:rPr>
        <w:t>S</w:t>
      </w:r>
      <w:proofErr w:type="spellEnd"/>
      <w:r w:rsidR="005620DC">
        <w:rPr>
          <w:sz w:val="28"/>
          <w:szCs w:val="28"/>
        </w:rPr>
        <w:t xml:space="preserve"> </w:t>
      </w:r>
      <w:r w:rsidR="008D32A1">
        <w:rPr>
          <w:sz w:val="28"/>
          <w:szCs w:val="28"/>
        </w:rPr>
        <w:t xml:space="preserve">and </w:t>
      </w:r>
      <w:proofErr w:type="spellStart"/>
      <w:r w:rsidR="008D32A1">
        <w:rPr>
          <w:sz w:val="28"/>
          <w:szCs w:val="28"/>
        </w:rPr>
        <w:t>PhGM</w:t>
      </w:r>
      <w:proofErr w:type="spellEnd"/>
      <w:r w:rsidR="008D32A1">
        <w:rPr>
          <w:sz w:val="28"/>
          <w:szCs w:val="28"/>
        </w:rPr>
        <w:t xml:space="preserve"> </w:t>
      </w:r>
      <w:r w:rsidR="005620DC">
        <w:rPr>
          <w:sz w:val="28"/>
          <w:szCs w:val="28"/>
        </w:rPr>
        <w:t>groups</w:t>
      </w:r>
      <w:r w:rsidR="001C708B">
        <w:rPr>
          <w:sz w:val="28"/>
          <w:szCs w:val="28"/>
        </w:rPr>
        <w:t>,</w:t>
      </w:r>
      <w:r w:rsidR="005620DC">
        <w:rPr>
          <w:sz w:val="28"/>
          <w:szCs w:val="28"/>
        </w:rPr>
        <w:t xml:space="preserve"> respectively)</w:t>
      </w:r>
      <w:r w:rsidR="00345D01" w:rsidRPr="006243B0">
        <w:rPr>
          <w:sz w:val="28"/>
          <w:szCs w:val="28"/>
        </w:rPr>
        <w:t>.</w:t>
      </w:r>
      <w:r w:rsidR="00D16E70">
        <w:rPr>
          <w:sz w:val="28"/>
          <w:szCs w:val="28"/>
        </w:rPr>
        <w:t xml:space="preserve"> </w:t>
      </w:r>
      <w:r w:rsidR="00F2177A">
        <w:rPr>
          <w:sz w:val="28"/>
          <w:szCs w:val="28"/>
        </w:rPr>
        <w:t>We</w:t>
      </w:r>
      <w:r w:rsidR="00634E28">
        <w:rPr>
          <w:sz w:val="28"/>
          <w:szCs w:val="28"/>
        </w:rPr>
        <w:t xml:space="preserve"> washed-</w:t>
      </w:r>
      <w:r w:rsidR="006A5CE2" w:rsidRPr="006243B0">
        <w:rPr>
          <w:sz w:val="28"/>
          <w:szCs w:val="28"/>
        </w:rPr>
        <w:t>out</w:t>
      </w:r>
      <w:r w:rsidR="00F2177A">
        <w:rPr>
          <w:sz w:val="28"/>
          <w:szCs w:val="28"/>
        </w:rPr>
        <w:t xml:space="preserve"> the blood</w:t>
      </w:r>
      <w:r w:rsidR="006A5CE2" w:rsidRPr="006243B0">
        <w:rPr>
          <w:sz w:val="28"/>
          <w:szCs w:val="28"/>
        </w:rPr>
        <w:t xml:space="preserve"> from the anterior chamber </w:t>
      </w:r>
      <w:r w:rsidR="00A659F9">
        <w:rPr>
          <w:sz w:val="28"/>
          <w:szCs w:val="28"/>
        </w:rPr>
        <w:t>while</w:t>
      </w:r>
      <w:r w:rsidR="006A5CE2" w:rsidRPr="006243B0">
        <w:rPr>
          <w:sz w:val="28"/>
          <w:szCs w:val="28"/>
        </w:rPr>
        <w:t xml:space="preserve"> irrigati</w:t>
      </w:r>
      <w:r w:rsidR="00915F35">
        <w:rPr>
          <w:sz w:val="28"/>
          <w:szCs w:val="28"/>
        </w:rPr>
        <w:t>ng</w:t>
      </w:r>
      <w:r w:rsidR="006A5CE2" w:rsidRPr="006243B0">
        <w:rPr>
          <w:sz w:val="28"/>
          <w:szCs w:val="28"/>
        </w:rPr>
        <w:t>-aspirati</w:t>
      </w:r>
      <w:r w:rsidR="00915F35">
        <w:rPr>
          <w:sz w:val="28"/>
          <w:szCs w:val="28"/>
        </w:rPr>
        <w:t>ng</w:t>
      </w:r>
      <w:r w:rsidR="006A5CE2" w:rsidRPr="006243B0">
        <w:rPr>
          <w:sz w:val="28"/>
          <w:szCs w:val="28"/>
        </w:rPr>
        <w:t xml:space="preserve"> the </w:t>
      </w:r>
      <w:proofErr w:type="spellStart"/>
      <w:r w:rsidR="00F2177A">
        <w:rPr>
          <w:sz w:val="28"/>
          <w:szCs w:val="28"/>
        </w:rPr>
        <w:t>healon</w:t>
      </w:r>
      <w:proofErr w:type="spellEnd"/>
      <w:r w:rsidR="006A5CE2" w:rsidRPr="006243B0">
        <w:rPr>
          <w:sz w:val="28"/>
          <w:szCs w:val="28"/>
        </w:rPr>
        <w:t>.</w:t>
      </w:r>
      <w:r w:rsidR="00D16E70">
        <w:rPr>
          <w:sz w:val="28"/>
          <w:szCs w:val="28"/>
        </w:rPr>
        <w:t xml:space="preserve"> </w:t>
      </w:r>
      <w:r w:rsidR="00915F35">
        <w:rPr>
          <w:sz w:val="28"/>
          <w:szCs w:val="28"/>
        </w:rPr>
        <w:t xml:space="preserve">During the first week after surgery, we noticed </w:t>
      </w:r>
      <w:r w:rsidR="00283D1D" w:rsidRPr="006243B0">
        <w:rPr>
          <w:sz w:val="28"/>
          <w:szCs w:val="28"/>
        </w:rPr>
        <w:t xml:space="preserve">hyphema in </w:t>
      </w:r>
      <w:r w:rsidR="00EF4423">
        <w:rPr>
          <w:sz w:val="28"/>
          <w:szCs w:val="28"/>
        </w:rPr>
        <w:t>5</w:t>
      </w:r>
      <w:r w:rsidR="00283D1D" w:rsidRPr="006243B0">
        <w:rPr>
          <w:sz w:val="28"/>
          <w:szCs w:val="28"/>
        </w:rPr>
        <w:t xml:space="preserve"> eyes of the </w:t>
      </w:r>
      <w:proofErr w:type="spellStart"/>
      <w:r w:rsidR="00283D1D" w:rsidRPr="006243B0">
        <w:rPr>
          <w:sz w:val="28"/>
          <w:szCs w:val="28"/>
        </w:rPr>
        <w:t>P</w:t>
      </w:r>
      <w:r w:rsidR="00223C5E">
        <w:rPr>
          <w:sz w:val="28"/>
          <w:szCs w:val="28"/>
        </w:rPr>
        <w:t>h</w:t>
      </w:r>
      <w:r w:rsidR="00283D1D" w:rsidRPr="006243B0">
        <w:rPr>
          <w:sz w:val="28"/>
          <w:szCs w:val="28"/>
        </w:rPr>
        <w:t>G</w:t>
      </w:r>
      <w:proofErr w:type="spellEnd"/>
      <w:r w:rsidR="00283D1D" w:rsidRPr="006243B0">
        <w:rPr>
          <w:sz w:val="28"/>
          <w:szCs w:val="28"/>
        </w:rPr>
        <w:t xml:space="preserve"> group</w:t>
      </w:r>
      <w:r w:rsidR="008A4DF9">
        <w:rPr>
          <w:sz w:val="28"/>
          <w:szCs w:val="28"/>
        </w:rPr>
        <w:t xml:space="preserve"> (</w:t>
      </w:r>
      <w:r w:rsidR="00A659F9">
        <w:rPr>
          <w:sz w:val="28"/>
          <w:szCs w:val="28"/>
        </w:rPr>
        <w:t>two</w:t>
      </w:r>
      <w:r w:rsidR="008A4DF9">
        <w:rPr>
          <w:sz w:val="28"/>
          <w:szCs w:val="28"/>
        </w:rPr>
        <w:t xml:space="preserve"> eyes in the </w:t>
      </w:r>
      <w:proofErr w:type="spellStart"/>
      <w:r w:rsidR="008A4DF9">
        <w:rPr>
          <w:sz w:val="28"/>
          <w:szCs w:val="28"/>
        </w:rPr>
        <w:t>P</w:t>
      </w:r>
      <w:r w:rsidR="00223C5E">
        <w:rPr>
          <w:sz w:val="28"/>
          <w:szCs w:val="28"/>
        </w:rPr>
        <w:t>h</w:t>
      </w:r>
      <w:r w:rsidR="008A4DF9">
        <w:rPr>
          <w:sz w:val="28"/>
          <w:szCs w:val="28"/>
        </w:rPr>
        <w:t>G</w:t>
      </w:r>
      <w:r w:rsidR="00223C5E">
        <w:rPr>
          <w:sz w:val="28"/>
          <w:szCs w:val="28"/>
        </w:rPr>
        <w:t>M</w:t>
      </w:r>
      <w:proofErr w:type="spellEnd"/>
      <w:r w:rsidR="008A4DF9">
        <w:rPr>
          <w:sz w:val="28"/>
          <w:szCs w:val="28"/>
        </w:rPr>
        <w:t xml:space="preserve"> groups and </w:t>
      </w:r>
      <w:r w:rsidR="00EF4423">
        <w:rPr>
          <w:sz w:val="28"/>
          <w:szCs w:val="28"/>
        </w:rPr>
        <w:t>three</w:t>
      </w:r>
      <w:r w:rsidR="008A4DF9">
        <w:rPr>
          <w:sz w:val="28"/>
          <w:szCs w:val="28"/>
        </w:rPr>
        <w:t xml:space="preserve"> eyes in the </w:t>
      </w:r>
      <w:proofErr w:type="spellStart"/>
      <w:r w:rsidR="008A4DF9">
        <w:rPr>
          <w:sz w:val="28"/>
          <w:szCs w:val="28"/>
        </w:rPr>
        <w:t>P</w:t>
      </w:r>
      <w:r w:rsidR="00EF4423">
        <w:rPr>
          <w:sz w:val="28"/>
          <w:szCs w:val="28"/>
        </w:rPr>
        <w:t>h</w:t>
      </w:r>
      <w:r w:rsidR="008A4DF9">
        <w:rPr>
          <w:sz w:val="28"/>
          <w:szCs w:val="28"/>
        </w:rPr>
        <w:t>G</w:t>
      </w:r>
      <w:r w:rsidR="00EF4423">
        <w:rPr>
          <w:sz w:val="28"/>
          <w:szCs w:val="28"/>
        </w:rPr>
        <w:t>S</w:t>
      </w:r>
      <w:proofErr w:type="spellEnd"/>
      <w:r w:rsidR="008A4DF9">
        <w:rPr>
          <w:sz w:val="28"/>
          <w:szCs w:val="28"/>
        </w:rPr>
        <w:t xml:space="preserve"> group)</w:t>
      </w:r>
      <w:r w:rsidR="00283D1D" w:rsidRPr="006243B0">
        <w:rPr>
          <w:sz w:val="28"/>
          <w:szCs w:val="28"/>
        </w:rPr>
        <w:t>.</w:t>
      </w:r>
      <w:r w:rsidR="00D16E70">
        <w:rPr>
          <w:sz w:val="28"/>
          <w:szCs w:val="28"/>
        </w:rPr>
        <w:t xml:space="preserve"> </w:t>
      </w:r>
      <w:r w:rsidR="008A4DF9">
        <w:rPr>
          <w:sz w:val="28"/>
          <w:szCs w:val="28"/>
        </w:rPr>
        <w:t xml:space="preserve">(Table 5) </w:t>
      </w:r>
      <w:r w:rsidR="00283D1D" w:rsidRPr="006243B0">
        <w:rPr>
          <w:sz w:val="28"/>
          <w:szCs w:val="28"/>
        </w:rPr>
        <w:t xml:space="preserve">That </w:t>
      </w:r>
      <w:r w:rsidR="00EF4423">
        <w:rPr>
          <w:sz w:val="28"/>
          <w:szCs w:val="28"/>
        </w:rPr>
        <w:t>hyphema</w:t>
      </w:r>
      <w:r w:rsidR="00667207">
        <w:rPr>
          <w:sz w:val="28"/>
          <w:szCs w:val="28"/>
        </w:rPr>
        <w:t xml:space="preserve"> was minimal and</w:t>
      </w:r>
      <w:r w:rsidR="00283D1D" w:rsidRPr="006243B0">
        <w:rPr>
          <w:sz w:val="28"/>
          <w:szCs w:val="28"/>
        </w:rPr>
        <w:t xml:space="preserve"> did not </w:t>
      </w:r>
      <w:r w:rsidR="00EF4423">
        <w:rPr>
          <w:sz w:val="28"/>
          <w:szCs w:val="28"/>
        </w:rPr>
        <w:t>raise</w:t>
      </w:r>
      <w:r w:rsidR="00283D1D" w:rsidRPr="006243B0">
        <w:rPr>
          <w:sz w:val="28"/>
          <w:szCs w:val="28"/>
        </w:rPr>
        <w:t xml:space="preserve"> the </w:t>
      </w:r>
      <w:r w:rsidR="00362610" w:rsidRPr="006243B0">
        <w:rPr>
          <w:sz w:val="28"/>
          <w:szCs w:val="28"/>
        </w:rPr>
        <w:t>IOP,</w:t>
      </w:r>
      <w:r w:rsidR="00283D1D" w:rsidRPr="006243B0">
        <w:rPr>
          <w:sz w:val="28"/>
          <w:szCs w:val="28"/>
        </w:rPr>
        <w:t xml:space="preserve"> and it </w:t>
      </w:r>
      <w:r w:rsidR="00223C5E" w:rsidRPr="006243B0">
        <w:rPr>
          <w:sz w:val="28"/>
          <w:szCs w:val="28"/>
        </w:rPr>
        <w:t xml:space="preserve">spontaneously </w:t>
      </w:r>
      <w:r w:rsidR="00667207">
        <w:rPr>
          <w:sz w:val="28"/>
          <w:szCs w:val="28"/>
        </w:rPr>
        <w:t>resolved</w:t>
      </w:r>
      <w:r w:rsidR="00283D1D" w:rsidRPr="006243B0">
        <w:rPr>
          <w:sz w:val="28"/>
          <w:szCs w:val="28"/>
        </w:rPr>
        <w:t xml:space="preserve"> by the next </w:t>
      </w:r>
      <w:r w:rsidR="00915F35">
        <w:rPr>
          <w:sz w:val="28"/>
          <w:szCs w:val="28"/>
        </w:rPr>
        <w:t>3-4 weeks</w:t>
      </w:r>
      <w:r w:rsidR="00283D1D" w:rsidRPr="006243B0">
        <w:rPr>
          <w:sz w:val="28"/>
          <w:szCs w:val="28"/>
        </w:rPr>
        <w:t>.</w:t>
      </w:r>
      <w:r w:rsidR="00D16E70">
        <w:rPr>
          <w:sz w:val="28"/>
          <w:szCs w:val="28"/>
        </w:rPr>
        <w:t xml:space="preserve"> </w:t>
      </w:r>
      <w:r w:rsidR="008376C6">
        <w:rPr>
          <w:sz w:val="28"/>
          <w:szCs w:val="28"/>
        </w:rPr>
        <w:t>Mild</w:t>
      </w:r>
      <w:r w:rsidR="00EF4423">
        <w:rPr>
          <w:sz w:val="28"/>
          <w:szCs w:val="28"/>
        </w:rPr>
        <w:t xml:space="preserve"> to moderate</w:t>
      </w:r>
      <w:r w:rsidR="008376C6">
        <w:rPr>
          <w:sz w:val="28"/>
          <w:szCs w:val="28"/>
        </w:rPr>
        <w:t xml:space="preserve"> c</w:t>
      </w:r>
      <w:r w:rsidR="008A4DF9">
        <w:rPr>
          <w:sz w:val="28"/>
          <w:szCs w:val="28"/>
        </w:rPr>
        <w:t xml:space="preserve">orneal edema </w:t>
      </w:r>
      <w:r w:rsidR="008376C6">
        <w:rPr>
          <w:sz w:val="28"/>
          <w:szCs w:val="28"/>
        </w:rPr>
        <w:t xml:space="preserve">was </w:t>
      </w:r>
      <w:r w:rsidR="00DE68CB">
        <w:rPr>
          <w:sz w:val="28"/>
          <w:szCs w:val="28"/>
        </w:rPr>
        <w:t>noticed</w:t>
      </w:r>
      <w:r w:rsidR="008376C6">
        <w:rPr>
          <w:sz w:val="28"/>
          <w:szCs w:val="28"/>
        </w:rPr>
        <w:t xml:space="preserve"> in </w:t>
      </w:r>
      <w:r w:rsidR="00EF4423">
        <w:rPr>
          <w:sz w:val="28"/>
          <w:szCs w:val="28"/>
        </w:rPr>
        <w:t>5</w:t>
      </w:r>
      <w:r w:rsidR="008376C6">
        <w:rPr>
          <w:sz w:val="28"/>
          <w:szCs w:val="28"/>
        </w:rPr>
        <w:t xml:space="preserve"> eyes in the </w:t>
      </w:r>
      <w:proofErr w:type="spellStart"/>
      <w:r w:rsidR="008376C6">
        <w:rPr>
          <w:sz w:val="28"/>
          <w:szCs w:val="28"/>
        </w:rPr>
        <w:t>P</w:t>
      </w:r>
      <w:r w:rsidR="00EF4423">
        <w:rPr>
          <w:sz w:val="28"/>
          <w:szCs w:val="28"/>
        </w:rPr>
        <w:t>hS</w:t>
      </w:r>
      <w:proofErr w:type="spellEnd"/>
      <w:r w:rsidR="008376C6">
        <w:rPr>
          <w:sz w:val="28"/>
          <w:szCs w:val="28"/>
        </w:rPr>
        <w:t xml:space="preserve"> group</w:t>
      </w:r>
      <w:r w:rsidR="001C708B">
        <w:rPr>
          <w:sz w:val="28"/>
          <w:szCs w:val="28"/>
        </w:rPr>
        <w:t>,</w:t>
      </w:r>
      <w:r w:rsidR="008376C6">
        <w:rPr>
          <w:sz w:val="28"/>
          <w:szCs w:val="28"/>
        </w:rPr>
        <w:t xml:space="preserve"> and opacification </w:t>
      </w:r>
      <w:r w:rsidR="00915F35">
        <w:rPr>
          <w:sz w:val="28"/>
          <w:szCs w:val="28"/>
        </w:rPr>
        <w:t xml:space="preserve">in the posterior capsule </w:t>
      </w:r>
      <w:r w:rsidR="00DE68CB">
        <w:rPr>
          <w:sz w:val="28"/>
          <w:szCs w:val="28"/>
        </w:rPr>
        <w:t>seen</w:t>
      </w:r>
      <w:r w:rsidR="008376C6">
        <w:rPr>
          <w:sz w:val="28"/>
          <w:szCs w:val="28"/>
        </w:rPr>
        <w:t xml:space="preserve"> in </w:t>
      </w:r>
      <w:r w:rsidR="00EF4423">
        <w:rPr>
          <w:sz w:val="28"/>
          <w:szCs w:val="28"/>
        </w:rPr>
        <w:t>2</w:t>
      </w:r>
      <w:r w:rsidR="008376C6">
        <w:rPr>
          <w:sz w:val="28"/>
          <w:szCs w:val="28"/>
        </w:rPr>
        <w:t xml:space="preserve"> eyes in the </w:t>
      </w:r>
      <w:proofErr w:type="spellStart"/>
      <w:r w:rsidR="008376C6">
        <w:rPr>
          <w:sz w:val="28"/>
          <w:szCs w:val="28"/>
        </w:rPr>
        <w:t>P</w:t>
      </w:r>
      <w:r w:rsidR="00EF4423">
        <w:rPr>
          <w:sz w:val="28"/>
          <w:szCs w:val="28"/>
        </w:rPr>
        <w:t>h</w:t>
      </w:r>
      <w:r w:rsidR="008376C6">
        <w:rPr>
          <w:sz w:val="28"/>
          <w:szCs w:val="28"/>
        </w:rPr>
        <w:t>G</w:t>
      </w:r>
      <w:r w:rsidR="00EF4423">
        <w:rPr>
          <w:sz w:val="28"/>
          <w:szCs w:val="28"/>
        </w:rPr>
        <w:t>M</w:t>
      </w:r>
      <w:proofErr w:type="spellEnd"/>
      <w:r w:rsidR="00EF4423">
        <w:rPr>
          <w:sz w:val="28"/>
          <w:szCs w:val="28"/>
        </w:rPr>
        <w:t xml:space="preserve"> </w:t>
      </w:r>
      <w:r w:rsidR="008376C6">
        <w:rPr>
          <w:sz w:val="28"/>
          <w:szCs w:val="28"/>
        </w:rPr>
        <w:t>group.</w:t>
      </w:r>
      <w:r w:rsidR="00D16E70">
        <w:rPr>
          <w:sz w:val="28"/>
          <w:szCs w:val="28"/>
        </w:rPr>
        <w:t xml:space="preserve"> </w:t>
      </w:r>
      <w:r w:rsidR="008376C6">
        <w:rPr>
          <w:sz w:val="28"/>
          <w:szCs w:val="28"/>
        </w:rPr>
        <w:t>We</w:t>
      </w:r>
      <w:r w:rsidR="00B018F1">
        <w:rPr>
          <w:sz w:val="28"/>
          <w:szCs w:val="28"/>
        </w:rPr>
        <w:t xml:space="preserve"> did not </w:t>
      </w:r>
      <w:r w:rsidR="00915F35">
        <w:rPr>
          <w:sz w:val="28"/>
          <w:szCs w:val="28"/>
        </w:rPr>
        <w:t>encounter</w:t>
      </w:r>
      <w:r w:rsidR="00B018F1">
        <w:rPr>
          <w:sz w:val="28"/>
          <w:szCs w:val="28"/>
        </w:rPr>
        <w:t xml:space="preserve"> any </w:t>
      </w:r>
      <w:r w:rsidR="00DE68CB">
        <w:rPr>
          <w:sz w:val="28"/>
          <w:szCs w:val="28"/>
        </w:rPr>
        <w:t>sight</w:t>
      </w:r>
      <w:r w:rsidR="00B018F1">
        <w:rPr>
          <w:sz w:val="28"/>
          <w:szCs w:val="28"/>
        </w:rPr>
        <w:t xml:space="preserve">-threatening </w:t>
      </w:r>
      <w:r w:rsidR="008A4DF9">
        <w:rPr>
          <w:sz w:val="28"/>
          <w:szCs w:val="28"/>
        </w:rPr>
        <w:t xml:space="preserve">complication in </w:t>
      </w:r>
      <w:r w:rsidR="00DE68CB">
        <w:rPr>
          <w:sz w:val="28"/>
          <w:szCs w:val="28"/>
        </w:rPr>
        <w:t>all</w:t>
      </w:r>
      <w:r w:rsidR="00EF4423">
        <w:rPr>
          <w:sz w:val="28"/>
          <w:szCs w:val="28"/>
        </w:rPr>
        <w:t xml:space="preserve"> </w:t>
      </w:r>
      <w:r w:rsidR="00DE68CB">
        <w:rPr>
          <w:sz w:val="28"/>
          <w:szCs w:val="28"/>
        </w:rPr>
        <w:t>patients</w:t>
      </w:r>
      <w:r w:rsidR="008A4DF9">
        <w:rPr>
          <w:sz w:val="28"/>
          <w:szCs w:val="28"/>
        </w:rPr>
        <w:t>.</w:t>
      </w:r>
    </w:p>
    <w:p w14:paraId="41ECD3F8" w14:textId="77777777" w:rsidR="00301E35" w:rsidRDefault="00301E35" w:rsidP="00DA7ED3">
      <w:pPr>
        <w:spacing w:line="480" w:lineRule="auto"/>
      </w:pPr>
    </w:p>
    <w:p w14:paraId="603ED3F3" w14:textId="77777777" w:rsidR="00971567" w:rsidRPr="001E29BA" w:rsidRDefault="00971567" w:rsidP="00B552B8">
      <w:pPr>
        <w:spacing w:line="480" w:lineRule="auto"/>
        <w:ind w:firstLine="567"/>
        <w:jc w:val="both"/>
        <w:rPr>
          <w:b/>
          <w:bCs/>
          <w:sz w:val="32"/>
          <w:szCs w:val="32"/>
        </w:rPr>
      </w:pPr>
      <w:r w:rsidRPr="001E29BA">
        <w:rPr>
          <w:b/>
          <w:bCs/>
          <w:sz w:val="32"/>
          <w:szCs w:val="32"/>
        </w:rPr>
        <w:t>Discussion:</w:t>
      </w:r>
    </w:p>
    <w:p w14:paraId="6555FD52" w14:textId="77777777" w:rsidR="00971567" w:rsidRDefault="00971567" w:rsidP="00B552B8">
      <w:pPr>
        <w:spacing w:line="480" w:lineRule="auto"/>
        <w:ind w:firstLine="567"/>
        <w:jc w:val="both"/>
      </w:pPr>
    </w:p>
    <w:p w14:paraId="2EE43025" w14:textId="6858BB78" w:rsidR="00971567" w:rsidRPr="00F66082" w:rsidRDefault="00971567" w:rsidP="00B552B8">
      <w:pPr>
        <w:spacing w:line="480" w:lineRule="auto"/>
        <w:ind w:firstLine="567"/>
        <w:jc w:val="both"/>
        <w:rPr>
          <w:rFonts w:asciiTheme="majorBidi" w:hAnsiTheme="majorBidi" w:cstheme="majorBidi"/>
          <w:sz w:val="28"/>
          <w:szCs w:val="28"/>
          <w:vertAlign w:val="superscript"/>
        </w:rPr>
      </w:pPr>
      <w:r w:rsidRPr="001E29BA">
        <w:rPr>
          <w:rFonts w:asciiTheme="majorBidi" w:hAnsiTheme="majorBidi" w:cstheme="majorBidi"/>
          <w:sz w:val="28"/>
          <w:szCs w:val="28"/>
        </w:rPr>
        <w:t xml:space="preserve">Trabeculectomy is </w:t>
      </w:r>
      <w:r w:rsidR="00C6633F">
        <w:rPr>
          <w:rFonts w:asciiTheme="majorBidi" w:hAnsiTheme="majorBidi" w:cstheme="majorBidi"/>
          <w:sz w:val="28"/>
          <w:szCs w:val="28"/>
        </w:rPr>
        <w:t xml:space="preserve">the </w:t>
      </w:r>
      <w:r w:rsidR="00F70108">
        <w:rPr>
          <w:rFonts w:asciiTheme="majorBidi" w:hAnsiTheme="majorBidi" w:cstheme="majorBidi"/>
          <w:sz w:val="28"/>
          <w:szCs w:val="28"/>
        </w:rPr>
        <w:t>mainstay surgical management</w:t>
      </w:r>
      <w:r w:rsidR="00C6633F">
        <w:rPr>
          <w:rFonts w:asciiTheme="majorBidi" w:hAnsiTheme="majorBidi" w:cstheme="majorBidi"/>
          <w:sz w:val="28"/>
          <w:szCs w:val="28"/>
        </w:rPr>
        <w:t xml:space="preserve"> for</w:t>
      </w:r>
      <w:r w:rsidRPr="001E29BA">
        <w:rPr>
          <w:rFonts w:asciiTheme="majorBidi" w:hAnsiTheme="majorBidi" w:cstheme="majorBidi"/>
          <w:sz w:val="28"/>
          <w:szCs w:val="28"/>
        </w:rPr>
        <w:t xml:space="preserve"> </w:t>
      </w:r>
      <w:r w:rsidR="00F70108">
        <w:rPr>
          <w:rFonts w:asciiTheme="majorBidi" w:hAnsiTheme="majorBidi" w:cstheme="majorBidi"/>
          <w:sz w:val="28"/>
          <w:szCs w:val="28"/>
        </w:rPr>
        <w:t xml:space="preserve">uncontrolled glaucoma </w:t>
      </w:r>
      <w:r w:rsidR="009907FF">
        <w:rPr>
          <w:rFonts w:asciiTheme="majorBidi" w:hAnsiTheme="majorBidi" w:cstheme="majorBidi"/>
          <w:sz w:val="28"/>
          <w:szCs w:val="28"/>
        </w:rPr>
        <w:t>patients</w:t>
      </w:r>
      <w:r w:rsidRPr="001E29BA">
        <w:rPr>
          <w:rFonts w:asciiTheme="majorBidi" w:hAnsiTheme="majorBidi" w:cstheme="majorBidi"/>
          <w:sz w:val="28"/>
          <w:szCs w:val="28"/>
        </w:rPr>
        <w:t>.</w:t>
      </w:r>
      <w:r w:rsidR="00D16E70">
        <w:rPr>
          <w:rFonts w:asciiTheme="majorBidi" w:hAnsiTheme="majorBidi" w:cstheme="majorBidi"/>
          <w:sz w:val="28"/>
          <w:szCs w:val="28"/>
        </w:rPr>
        <w:t xml:space="preserve"> </w:t>
      </w:r>
      <w:r w:rsidR="00F66082">
        <w:rPr>
          <w:rFonts w:asciiTheme="majorBidi" w:hAnsiTheme="majorBidi" w:cstheme="majorBidi"/>
          <w:sz w:val="28"/>
          <w:szCs w:val="28"/>
          <w:vertAlign w:val="superscript"/>
        </w:rPr>
        <w:t>4,</w:t>
      </w:r>
      <w:r w:rsidR="00452E25">
        <w:rPr>
          <w:rFonts w:asciiTheme="majorBidi" w:hAnsiTheme="majorBidi" w:cstheme="majorBidi"/>
          <w:sz w:val="28"/>
          <w:szCs w:val="28"/>
          <w:vertAlign w:val="superscript"/>
        </w:rPr>
        <w:t>15</w:t>
      </w:r>
      <w:r w:rsidRPr="001E29BA">
        <w:rPr>
          <w:rFonts w:asciiTheme="majorBidi" w:hAnsiTheme="majorBidi" w:cstheme="majorBidi"/>
          <w:sz w:val="28"/>
          <w:szCs w:val="28"/>
        </w:rPr>
        <w:t xml:space="preserve"> However</w:t>
      </w:r>
      <w:r>
        <w:rPr>
          <w:rFonts w:asciiTheme="majorBidi" w:hAnsiTheme="majorBidi" w:cstheme="majorBidi"/>
          <w:sz w:val="28"/>
          <w:szCs w:val="28"/>
        </w:rPr>
        <w:t>,</w:t>
      </w:r>
      <w:r w:rsidRPr="001E29BA">
        <w:rPr>
          <w:rFonts w:asciiTheme="majorBidi" w:hAnsiTheme="majorBidi" w:cstheme="majorBidi"/>
          <w:sz w:val="28"/>
          <w:szCs w:val="28"/>
        </w:rPr>
        <w:t xml:space="preserve"> </w:t>
      </w:r>
      <w:r w:rsidR="00C6633F">
        <w:rPr>
          <w:rFonts w:asciiTheme="majorBidi" w:hAnsiTheme="majorBidi" w:cstheme="majorBidi"/>
          <w:sz w:val="28"/>
          <w:szCs w:val="28"/>
        </w:rPr>
        <w:t>it</w:t>
      </w:r>
      <w:r w:rsidRPr="001E29BA">
        <w:rPr>
          <w:rFonts w:asciiTheme="majorBidi" w:hAnsiTheme="majorBidi" w:cstheme="majorBidi"/>
          <w:sz w:val="28"/>
          <w:szCs w:val="28"/>
        </w:rPr>
        <w:t xml:space="preserve"> </w:t>
      </w:r>
      <w:r w:rsidR="009907FF">
        <w:rPr>
          <w:rFonts w:asciiTheme="majorBidi" w:hAnsiTheme="majorBidi" w:cstheme="majorBidi"/>
          <w:sz w:val="28"/>
          <w:szCs w:val="28"/>
        </w:rPr>
        <w:t>carries the</w:t>
      </w:r>
      <w:r w:rsidRPr="001E29BA">
        <w:rPr>
          <w:rFonts w:asciiTheme="majorBidi" w:hAnsiTheme="majorBidi" w:cstheme="majorBidi"/>
          <w:sz w:val="28"/>
          <w:szCs w:val="28"/>
        </w:rPr>
        <w:t xml:space="preserve"> risk </w:t>
      </w:r>
      <w:r w:rsidR="009907FF">
        <w:rPr>
          <w:rFonts w:asciiTheme="majorBidi" w:hAnsiTheme="majorBidi" w:cstheme="majorBidi"/>
          <w:sz w:val="28"/>
          <w:szCs w:val="28"/>
        </w:rPr>
        <w:t xml:space="preserve">of potential </w:t>
      </w:r>
      <w:r w:rsidRPr="001E29BA">
        <w:rPr>
          <w:rFonts w:asciiTheme="majorBidi" w:hAnsiTheme="majorBidi" w:cstheme="majorBidi"/>
          <w:sz w:val="28"/>
          <w:szCs w:val="28"/>
        </w:rPr>
        <w:t xml:space="preserve">complications </w:t>
      </w:r>
      <w:r w:rsidR="00C6633F">
        <w:rPr>
          <w:rFonts w:asciiTheme="majorBidi" w:hAnsiTheme="majorBidi" w:cstheme="majorBidi"/>
          <w:sz w:val="28"/>
          <w:szCs w:val="28"/>
        </w:rPr>
        <w:t>for instance,</w:t>
      </w:r>
      <w:r w:rsidRPr="001E29BA">
        <w:rPr>
          <w:rFonts w:asciiTheme="majorBidi" w:hAnsiTheme="majorBidi" w:cstheme="majorBidi"/>
          <w:sz w:val="28"/>
          <w:szCs w:val="28"/>
        </w:rPr>
        <w:t xml:space="preserve"> shallow </w:t>
      </w:r>
      <w:r w:rsidR="00BE1776">
        <w:rPr>
          <w:rFonts w:asciiTheme="majorBidi" w:hAnsiTheme="majorBidi" w:cstheme="majorBidi"/>
          <w:sz w:val="28"/>
          <w:szCs w:val="28"/>
        </w:rPr>
        <w:t xml:space="preserve">or lost </w:t>
      </w:r>
      <w:r w:rsidRPr="001E29BA">
        <w:rPr>
          <w:rFonts w:asciiTheme="majorBidi" w:hAnsiTheme="majorBidi" w:cstheme="majorBidi"/>
          <w:sz w:val="28"/>
          <w:szCs w:val="28"/>
        </w:rPr>
        <w:t>anterior chamber</w:t>
      </w:r>
      <w:r w:rsidR="00C6633F">
        <w:rPr>
          <w:rFonts w:asciiTheme="majorBidi" w:hAnsiTheme="majorBidi" w:cstheme="majorBidi"/>
          <w:sz w:val="28"/>
          <w:szCs w:val="28"/>
        </w:rPr>
        <w:t>, hypotony</w:t>
      </w:r>
      <w:r w:rsidRPr="001E29BA">
        <w:rPr>
          <w:rFonts w:asciiTheme="majorBidi" w:hAnsiTheme="majorBidi" w:cstheme="majorBidi"/>
          <w:sz w:val="28"/>
          <w:szCs w:val="28"/>
        </w:rPr>
        <w:t>, bleb leak</w:t>
      </w:r>
      <w:r w:rsidR="009907FF">
        <w:rPr>
          <w:rFonts w:asciiTheme="majorBidi" w:hAnsiTheme="majorBidi" w:cstheme="majorBidi"/>
          <w:sz w:val="28"/>
          <w:szCs w:val="28"/>
        </w:rPr>
        <w:t xml:space="preserve"> or failure, elevated IOP</w:t>
      </w:r>
      <w:r w:rsidRPr="001E29BA">
        <w:rPr>
          <w:rFonts w:asciiTheme="majorBidi" w:hAnsiTheme="majorBidi" w:cstheme="majorBidi"/>
          <w:sz w:val="28"/>
          <w:szCs w:val="28"/>
        </w:rPr>
        <w:t xml:space="preserve">, choroidal detachment, </w:t>
      </w:r>
      <w:r w:rsidR="001C708B">
        <w:rPr>
          <w:rFonts w:asciiTheme="majorBidi" w:hAnsiTheme="majorBidi" w:cstheme="majorBidi"/>
          <w:sz w:val="28"/>
          <w:szCs w:val="28"/>
        </w:rPr>
        <w:t xml:space="preserve">and sight-threatening complications </w:t>
      </w:r>
      <w:r w:rsidR="00C6633F">
        <w:rPr>
          <w:rFonts w:asciiTheme="majorBidi" w:hAnsiTheme="majorBidi" w:cstheme="majorBidi"/>
          <w:sz w:val="28"/>
          <w:szCs w:val="28"/>
        </w:rPr>
        <w:t>like</w:t>
      </w:r>
      <w:r w:rsidRPr="001E29B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E29BA">
        <w:rPr>
          <w:rFonts w:asciiTheme="majorBidi" w:hAnsiTheme="majorBidi" w:cstheme="majorBidi"/>
          <w:sz w:val="28"/>
          <w:szCs w:val="28"/>
        </w:rPr>
        <w:t>blebitis</w:t>
      </w:r>
      <w:proofErr w:type="spellEnd"/>
      <w:r w:rsidR="00BE1776">
        <w:rPr>
          <w:rFonts w:asciiTheme="majorBidi" w:hAnsiTheme="majorBidi" w:cstheme="majorBidi"/>
          <w:sz w:val="28"/>
          <w:szCs w:val="28"/>
        </w:rPr>
        <w:t xml:space="preserve"> or</w:t>
      </w:r>
      <w:r w:rsidRPr="001E29BA">
        <w:rPr>
          <w:rFonts w:asciiTheme="majorBidi" w:hAnsiTheme="majorBidi" w:cstheme="majorBidi"/>
          <w:sz w:val="28"/>
          <w:szCs w:val="28"/>
        </w:rPr>
        <w:t xml:space="preserve"> endophthalmitis, and wipe</w:t>
      </w:r>
      <w:r w:rsidRPr="001E29BA">
        <w:rPr>
          <w:rFonts w:asciiTheme="majorBidi" w:hAnsiTheme="majorBidi" w:cstheme="majorBidi"/>
          <w:sz w:val="28"/>
          <w:szCs w:val="28"/>
        </w:rPr>
        <w:noBreakHyphen/>
      </w:r>
      <w:r w:rsidR="00EF2652" w:rsidRPr="001E29BA">
        <w:rPr>
          <w:rFonts w:asciiTheme="majorBidi" w:hAnsiTheme="majorBidi" w:cstheme="majorBidi"/>
          <w:sz w:val="28"/>
          <w:szCs w:val="28"/>
        </w:rPr>
        <w:t xml:space="preserve">out </w:t>
      </w:r>
      <w:r w:rsidR="00BE1776">
        <w:rPr>
          <w:rFonts w:asciiTheme="majorBidi" w:hAnsiTheme="majorBidi" w:cstheme="majorBidi"/>
          <w:sz w:val="28"/>
          <w:szCs w:val="28"/>
        </w:rPr>
        <w:t xml:space="preserve">syndrome caused </w:t>
      </w:r>
      <w:r w:rsidR="00EF2652" w:rsidRPr="001E29BA">
        <w:rPr>
          <w:rFonts w:asciiTheme="majorBidi" w:hAnsiTheme="majorBidi" w:cstheme="majorBidi"/>
          <w:sz w:val="28"/>
          <w:szCs w:val="28"/>
        </w:rPr>
        <w:t>by</w:t>
      </w:r>
      <w:r w:rsidRPr="001E29BA">
        <w:rPr>
          <w:rFonts w:asciiTheme="majorBidi" w:hAnsiTheme="majorBidi" w:cstheme="majorBidi"/>
          <w:sz w:val="28"/>
          <w:szCs w:val="28"/>
        </w:rPr>
        <w:t xml:space="preserve"> </w:t>
      </w:r>
      <w:r w:rsidR="00C6633F" w:rsidRPr="001E29BA">
        <w:rPr>
          <w:rFonts w:asciiTheme="majorBidi" w:hAnsiTheme="majorBidi" w:cstheme="majorBidi"/>
          <w:sz w:val="28"/>
          <w:szCs w:val="28"/>
        </w:rPr>
        <w:t xml:space="preserve">intra- </w:t>
      </w:r>
      <w:r w:rsidR="00C6633F">
        <w:rPr>
          <w:rFonts w:asciiTheme="majorBidi" w:hAnsiTheme="majorBidi" w:cstheme="majorBidi"/>
          <w:sz w:val="28"/>
          <w:szCs w:val="28"/>
        </w:rPr>
        <w:t>or</w:t>
      </w:r>
      <w:r w:rsidR="00C6633F" w:rsidRPr="001E29BA">
        <w:rPr>
          <w:rFonts w:asciiTheme="majorBidi" w:hAnsiTheme="majorBidi" w:cstheme="majorBidi"/>
          <w:sz w:val="28"/>
          <w:szCs w:val="28"/>
        </w:rPr>
        <w:t xml:space="preserve"> post-operative</w:t>
      </w:r>
      <w:r w:rsidR="00C6633F">
        <w:rPr>
          <w:rFonts w:asciiTheme="majorBidi" w:hAnsiTheme="majorBidi" w:cstheme="majorBidi"/>
          <w:sz w:val="28"/>
          <w:szCs w:val="28"/>
        </w:rPr>
        <w:t xml:space="preserve"> </w:t>
      </w:r>
      <w:r w:rsidR="00BE1776">
        <w:rPr>
          <w:rFonts w:asciiTheme="majorBidi" w:hAnsiTheme="majorBidi" w:cstheme="majorBidi"/>
          <w:sz w:val="28"/>
          <w:szCs w:val="28"/>
        </w:rPr>
        <w:t xml:space="preserve">turbulence in the </w:t>
      </w:r>
      <w:r w:rsidR="00EF2652" w:rsidRPr="001E29BA">
        <w:rPr>
          <w:rFonts w:asciiTheme="majorBidi" w:hAnsiTheme="majorBidi" w:cstheme="majorBidi"/>
          <w:sz w:val="28"/>
          <w:szCs w:val="28"/>
        </w:rPr>
        <w:t>IOP</w:t>
      </w:r>
      <w:r>
        <w:rPr>
          <w:rFonts w:asciiTheme="majorBidi" w:hAnsiTheme="majorBidi" w:cstheme="majorBidi"/>
          <w:sz w:val="28"/>
          <w:szCs w:val="28"/>
        </w:rPr>
        <w:t>.</w:t>
      </w:r>
      <w:r w:rsidR="00D16E70">
        <w:rPr>
          <w:rFonts w:asciiTheme="majorBidi" w:hAnsiTheme="majorBidi" w:cstheme="majorBidi"/>
          <w:sz w:val="28"/>
          <w:szCs w:val="28"/>
        </w:rPr>
        <w:t xml:space="preserve"> </w:t>
      </w:r>
      <w:r w:rsidR="00F66082">
        <w:rPr>
          <w:rFonts w:asciiTheme="majorBidi" w:hAnsiTheme="majorBidi" w:cstheme="majorBidi"/>
          <w:sz w:val="28"/>
          <w:szCs w:val="28"/>
          <w:vertAlign w:val="superscript"/>
        </w:rPr>
        <w:t>16</w:t>
      </w:r>
    </w:p>
    <w:p w14:paraId="0317D0DD" w14:textId="5933906D" w:rsidR="00971567" w:rsidRDefault="00971567" w:rsidP="00B552B8">
      <w:pPr>
        <w:spacing w:line="48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MIGS </w:t>
      </w:r>
      <w:r w:rsidR="00BE1776">
        <w:rPr>
          <w:rFonts w:asciiTheme="majorBidi" w:hAnsiTheme="majorBidi" w:cstheme="majorBidi"/>
          <w:sz w:val="28"/>
          <w:szCs w:val="28"/>
        </w:rPr>
        <w:t xml:space="preserve">shows </w:t>
      </w:r>
      <w:r>
        <w:rPr>
          <w:rFonts w:asciiTheme="majorBidi" w:hAnsiTheme="majorBidi" w:cstheme="majorBidi"/>
          <w:sz w:val="28"/>
          <w:szCs w:val="28"/>
        </w:rPr>
        <w:t xml:space="preserve">a </w:t>
      </w:r>
      <w:r w:rsidR="00BE1776">
        <w:rPr>
          <w:rFonts w:asciiTheme="majorBidi" w:hAnsiTheme="majorBidi" w:cstheme="majorBidi"/>
          <w:sz w:val="28"/>
          <w:szCs w:val="28"/>
        </w:rPr>
        <w:t>good</w:t>
      </w:r>
      <w:r>
        <w:rPr>
          <w:rFonts w:asciiTheme="majorBidi" w:hAnsiTheme="majorBidi" w:cstheme="majorBidi"/>
          <w:sz w:val="28"/>
          <w:szCs w:val="28"/>
        </w:rPr>
        <w:t xml:space="preserve"> safety profile </w:t>
      </w:r>
      <w:r w:rsidR="00BE1776">
        <w:rPr>
          <w:rFonts w:asciiTheme="majorBidi" w:hAnsiTheme="majorBidi" w:cstheme="majorBidi"/>
          <w:sz w:val="28"/>
          <w:szCs w:val="28"/>
        </w:rPr>
        <w:t>when compared to</w:t>
      </w:r>
      <w:r>
        <w:rPr>
          <w:rFonts w:asciiTheme="majorBidi" w:hAnsiTheme="majorBidi" w:cstheme="majorBidi"/>
          <w:sz w:val="28"/>
          <w:szCs w:val="28"/>
        </w:rPr>
        <w:t xml:space="preserve"> traditional trabeculectomy surgery.</w:t>
      </w:r>
      <w:r w:rsidR="00D16E70">
        <w:rPr>
          <w:rFonts w:asciiTheme="majorBidi" w:hAnsiTheme="majorBidi" w:cstheme="majorBidi"/>
          <w:sz w:val="28"/>
          <w:szCs w:val="28"/>
        </w:rPr>
        <w:t xml:space="preserve"> </w:t>
      </w:r>
      <w:r w:rsidR="00BE1776">
        <w:rPr>
          <w:rFonts w:asciiTheme="majorBidi" w:hAnsiTheme="majorBidi" w:cstheme="majorBidi"/>
          <w:sz w:val="28"/>
          <w:szCs w:val="28"/>
        </w:rPr>
        <w:t>They</w:t>
      </w:r>
      <w:r w:rsidR="0091307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bleb-</w:t>
      </w:r>
      <w:r w:rsidR="00913073">
        <w:rPr>
          <w:rFonts w:asciiTheme="majorBidi" w:hAnsiTheme="majorBidi" w:cstheme="majorBidi"/>
          <w:sz w:val="28"/>
          <w:szCs w:val="28"/>
        </w:rPr>
        <w:t>in</w:t>
      </w:r>
      <w:r>
        <w:rPr>
          <w:rFonts w:asciiTheme="majorBidi" w:hAnsiTheme="majorBidi" w:cstheme="majorBidi"/>
          <w:sz w:val="28"/>
          <w:szCs w:val="28"/>
        </w:rPr>
        <w:t xml:space="preserve">dependent, </w:t>
      </w:r>
      <w:proofErr w:type="spellStart"/>
      <w:r w:rsidR="00913073">
        <w:rPr>
          <w:rFonts w:asciiTheme="majorBidi" w:hAnsiTheme="majorBidi" w:cstheme="majorBidi"/>
          <w:sz w:val="28"/>
          <w:szCs w:val="28"/>
        </w:rPr>
        <w:t>therfore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avoiding the</w:t>
      </w:r>
      <w:r w:rsidR="00BE1776">
        <w:rPr>
          <w:rFonts w:asciiTheme="majorBidi" w:hAnsiTheme="majorBidi" w:cstheme="majorBidi"/>
          <w:sz w:val="28"/>
          <w:szCs w:val="28"/>
        </w:rPr>
        <w:t xml:space="preserve"> potential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E1776">
        <w:rPr>
          <w:rFonts w:asciiTheme="majorBidi" w:hAnsiTheme="majorBidi" w:cstheme="majorBidi"/>
          <w:sz w:val="28"/>
          <w:szCs w:val="28"/>
        </w:rPr>
        <w:t>hazardous</w:t>
      </w:r>
      <w:r w:rsidR="001C708B">
        <w:rPr>
          <w:rFonts w:asciiTheme="majorBidi" w:hAnsiTheme="majorBidi" w:cstheme="majorBidi"/>
          <w:sz w:val="28"/>
          <w:szCs w:val="28"/>
        </w:rPr>
        <w:t xml:space="preserve"> complications of </w:t>
      </w:r>
      <w:r w:rsidR="00913073">
        <w:rPr>
          <w:rFonts w:asciiTheme="majorBidi" w:hAnsiTheme="majorBidi" w:cstheme="majorBidi"/>
          <w:sz w:val="28"/>
          <w:szCs w:val="28"/>
        </w:rPr>
        <w:t>trabeculectomy</w:t>
      </w:r>
      <w:r>
        <w:rPr>
          <w:rFonts w:asciiTheme="majorBidi" w:hAnsiTheme="majorBidi" w:cstheme="majorBidi"/>
          <w:sz w:val="28"/>
          <w:szCs w:val="28"/>
        </w:rPr>
        <w:t>.</w:t>
      </w:r>
      <w:r w:rsidR="00D16E7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However, </w:t>
      </w:r>
      <w:r w:rsidR="00570B7E">
        <w:rPr>
          <w:rFonts w:asciiTheme="majorBidi" w:hAnsiTheme="majorBidi" w:cstheme="majorBidi"/>
          <w:sz w:val="28"/>
          <w:szCs w:val="28"/>
        </w:rPr>
        <w:t>trabeculectomy is still the gold standard surgical choice when the target IOP of glaucoma patients is very low</w:t>
      </w:r>
      <w:r>
        <w:rPr>
          <w:rFonts w:asciiTheme="majorBidi" w:hAnsiTheme="majorBidi" w:cstheme="majorBidi"/>
          <w:sz w:val="28"/>
          <w:szCs w:val="28"/>
        </w:rPr>
        <w:t>.</w:t>
      </w:r>
      <w:r w:rsidR="00D16E70">
        <w:rPr>
          <w:rFonts w:asciiTheme="majorBidi" w:hAnsiTheme="majorBidi" w:cstheme="majorBidi"/>
          <w:sz w:val="28"/>
          <w:szCs w:val="28"/>
        </w:rPr>
        <w:t xml:space="preserve"> </w:t>
      </w:r>
      <w:r w:rsidR="00452E25">
        <w:rPr>
          <w:rFonts w:asciiTheme="majorBidi" w:hAnsiTheme="majorBidi" w:cstheme="majorBidi"/>
          <w:sz w:val="28"/>
          <w:szCs w:val="28"/>
          <w:vertAlign w:val="superscript"/>
        </w:rPr>
        <w:t>4,11,12,16</w:t>
      </w:r>
    </w:p>
    <w:p w14:paraId="43B46475" w14:textId="718B87C8" w:rsidR="00971567" w:rsidRPr="00452E25" w:rsidRDefault="00971567" w:rsidP="00B552B8">
      <w:pPr>
        <w:spacing w:line="480" w:lineRule="auto"/>
        <w:ind w:firstLine="567"/>
        <w:jc w:val="both"/>
        <w:rPr>
          <w:rFonts w:asciiTheme="majorBidi" w:hAnsiTheme="majorBidi" w:cstheme="majorBidi"/>
          <w:sz w:val="28"/>
          <w:szCs w:val="28"/>
          <w:vertAlign w:val="superscript"/>
        </w:rPr>
      </w:pPr>
      <w:r>
        <w:rPr>
          <w:rFonts w:asciiTheme="majorBidi" w:hAnsiTheme="majorBidi" w:cstheme="majorBidi"/>
          <w:sz w:val="28"/>
          <w:szCs w:val="28"/>
        </w:rPr>
        <w:t xml:space="preserve">Goniotomy </w:t>
      </w:r>
      <w:r w:rsidR="00570B7E">
        <w:rPr>
          <w:rFonts w:asciiTheme="majorBidi" w:hAnsiTheme="majorBidi" w:cstheme="majorBidi"/>
          <w:sz w:val="28"/>
          <w:szCs w:val="28"/>
        </w:rPr>
        <w:t>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913073">
        <w:rPr>
          <w:rFonts w:asciiTheme="majorBidi" w:hAnsiTheme="majorBidi" w:cstheme="majorBidi"/>
          <w:sz w:val="28"/>
          <w:szCs w:val="28"/>
        </w:rPr>
        <w:t>a</w:t>
      </w:r>
      <w:r w:rsidR="00570B7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minimally invasive </w:t>
      </w:r>
      <w:r w:rsidR="00913073">
        <w:rPr>
          <w:rFonts w:asciiTheme="majorBidi" w:hAnsiTheme="majorBidi" w:cstheme="majorBidi"/>
          <w:sz w:val="28"/>
          <w:szCs w:val="28"/>
        </w:rPr>
        <w:t>and effective surgery</w:t>
      </w:r>
      <w:r>
        <w:rPr>
          <w:rFonts w:asciiTheme="majorBidi" w:hAnsiTheme="majorBidi" w:cstheme="majorBidi"/>
          <w:sz w:val="28"/>
          <w:szCs w:val="28"/>
        </w:rPr>
        <w:t xml:space="preserve"> to </w:t>
      </w:r>
      <w:r w:rsidR="00570B7E">
        <w:rPr>
          <w:rFonts w:asciiTheme="majorBidi" w:hAnsiTheme="majorBidi" w:cstheme="majorBidi"/>
          <w:sz w:val="28"/>
          <w:szCs w:val="28"/>
        </w:rPr>
        <w:t>lower</w:t>
      </w:r>
      <w:r>
        <w:rPr>
          <w:rFonts w:asciiTheme="majorBidi" w:hAnsiTheme="majorBidi" w:cstheme="majorBidi"/>
          <w:sz w:val="28"/>
          <w:szCs w:val="28"/>
        </w:rPr>
        <w:t xml:space="preserve"> the IOP in POAG</w:t>
      </w:r>
      <w:r w:rsidR="00913073">
        <w:rPr>
          <w:rFonts w:asciiTheme="majorBidi" w:hAnsiTheme="majorBidi" w:cstheme="majorBidi"/>
          <w:sz w:val="28"/>
          <w:szCs w:val="28"/>
        </w:rPr>
        <w:t xml:space="preserve"> patients</w:t>
      </w:r>
      <w:r w:rsidR="00570B7E">
        <w:rPr>
          <w:rFonts w:asciiTheme="majorBidi" w:hAnsiTheme="majorBidi" w:cstheme="majorBidi"/>
          <w:sz w:val="28"/>
          <w:szCs w:val="28"/>
        </w:rPr>
        <w:t xml:space="preserve"> with minimal collateral damage</w:t>
      </w:r>
      <w:r>
        <w:rPr>
          <w:rFonts w:asciiTheme="majorBidi" w:hAnsiTheme="majorBidi" w:cstheme="majorBidi"/>
          <w:sz w:val="28"/>
          <w:szCs w:val="28"/>
        </w:rPr>
        <w:t>.</w:t>
      </w:r>
      <w:r w:rsidR="00D16E70">
        <w:rPr>
          <w:rFonts w:asciiTheme="majorBidi" w:hAnsiTheme="majorBidi" w:cstheme="majorBidi"/>
          <w:sz w:val="28"/>
          <w:szCs w:val="28"/>
        </w:rPr>
        <w:t xml:space="preserve"> </w:t>
      </w:r>
      <w:r w:rsidR="00570B7E">
        <w:rPr>
          <w:rFonts w:asciiTheme="majorBidi" w:hAnsiTheme="majorBidi" w:cstheme="majorBidi"/>
          <w:sz w:val="28"/>
          <w:szCs w:val="28"/>
        </w:rPr>
        <w:t>It</w:t>
      </w:r>
      <w:r>
        <w:rPr>
          <w:rFonts w:asciiTheme="majorBidi" w:hAnsiTheme="majorBidi" w:cstheme="majorBidi"/>
          <w:sz w:val="28"/>
          <w:szCs w:val="28"/>
        </w:rPr>
        <w:t xml:space="preserve"> can be done </w:t>
      </w:r>
      <w:r w:rsidR="00570B7E">
        <w:rPr>
          <w:rFonts w:asciiTheme="majorBidi" w:hAnsiTheme="majorBidi" w:cstheme="majorBidi"/>
          <w:sz w:val="28"/>
          <w:szCs w:val="28"/>
        </w:rPr>
        <w:t>using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Kahook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570B7E">
        <w:rPr>
          <w:rFonts w:asciiTheme="majorBidi" w:hAnsiTheme="majorBidi" w:cstheme="majorBidi"/>
          <w:sz w:val="28"/>
          <w:szCs w:val="28"/>
        </w:rPr>
        <w:t xml:space="preserve">dual </w:t>
      </w:r>
      <w:r>
        <w:rPr>
          <w:rFonts w:asciiTheme="majorBidi" w:hAnsiTheme="majorBidi" w:cstheme="majorBidi"/>
          <w:sz w:val="28"/>
          <w:szCs w:val="28"/>
        </w:rPr>
        <w:t xml:space="preserve">blade, </w:t>
      </w:r>
      <w:r w:rsidR="008E794A">
        <w:rPr>
          <w:rFonts w:asciiTheme="majorBidi" w:hAnsiTheme="majorBidi" w:cstheme="majorBidi"/>
          <w:sz w:val="28"/>
          <w:szCs w:val="28"/>
        </w:rPr>
        <w:t xml:space="preserve">a </w:t>
      </w:r>
      <w:r w:rsidR="00913073">
        <w:rPr>
          <w:rFonts w:asciiTheme="majorBidi" w:hAnsiTheme="majorBidi" w:cstheme="majorBidi"/>
          <w:sz w:val="28"/>
          <w:szCs w:val="28"/>
        </w:rPr>
        <w:t xml:space="preserve">bent-tip </w:t>
      </w:r>
      <w:r>
        <w:rPr>
          <w:rFonts w:asciiTheme="majorBidi" w:hAnsiTheme="majorBidi" w:cstheme="majorBidi"/>
          <w:sz w:val="28"/>
          <w:szCs w:val="28"/>
        </w:rPr>
        <w:t xml:space="preserve">25-gauge needle, or an MVR </w:t>
      </w:r>
      <w:r w:rsidR="00913073">
        <w:rPr>
          <w:rFonts w:asciiTheme="majorBidi" w:hAnsiTheme="majorBidi" w:cstheme="majorBidi"/>
          <w:sz w:val="28"/>
          <w:szCs w:val="28"/>
        </w:rPr>
        <w:t>knife</w:t>
      </w:r>
      <w:r>
        <w:rPr>
          <w:rFonts w:asciiTheme="majorBidi" w:hAnsiTheme="majorBidi" w:cstheme="majorBidi"/>
          <w:sz w:val="28"/>
          <w:szCs w:val="28"/>
        </w:rPr>
        <w:t>.</w:t>
      </w:r>
      <w:r w:rsidR="00D16E7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Goniotomy </w:t>
      </w:r>
      <w:r w:rsidR="00C702AD">
        <w:rPr>
          <w:rFonts w:asciiTheme="majorBidi" w:hAnsiTheme="majorBidi" w:cstheme="majorBidi"/>
          <w:sz w:val="28"/>
          <w:szCs w:val="28"/>
        </w:rPr>
        <w:t>proved to be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913073">
        <w:rPr>
          <w:rFonts w:asciiTheme="majorBidi" w:hAnsiTheme="majorBidi" w:cstheme="majorBidi"/>
          <w:sz w:val="28"/>
          <w:szCs w:val="28"/>
        </w:rPr>
        <w:t>a</w:t>
      </w:r>
      <w:r>
        <w:rPr>
          <w:rFonts w:asciiTheme="majorBidi" w:hAnsiTheme="majorBidi" w:cstheme="majorBidi"/>
          <w:sz w:val="28"/>
          <w:szCs w:val="28"/>
        </w:rPr>
        <w:t xml:space="preserve"> cost-reliable</w:t>
      </w:r>
      <w:r w:rsidR="00913073">
        <w:rPr>
          <w:rFonts w:asciiTheme="majorBidi" w:hAnsiTheme="majorBidi" w:cstheme="majorBidi"/>
          <w:sz w:val="28"/>
          <w:szCs w:val="28"/>
        </w:rPr>
        <w:t xml:space="preserve"> and effective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913073">
        <w:rPr>
          <w:rFonts w:asciiTheme="majorBidi" w:hAnsiTheme="majorBidi" w:cstheme="majorBidi"/>
          <w:sz w:val="28"/>
          <w:szCs w:val="28"/>
        </w:rPr>
        <w:t>surgery</w:t>
      </w:r>
      <w:r>
        <w:rPr>
          <w:rFonts w:asciiTheme="majorBidi" w:hAnsiTheme="majorBidi" w:cstheme="majorBidi"/>
          <w:sz w:val="28"/>
          <w:szCs w:val="28"/>
        </w:rPr>
        <w:t xml:space="preserve"> of </w:t>
      </w:r>
      <w:r w:rsidR="001C708B">
        <w:rPr>
          <w:rFonts w:asciiTheme="majorBidi" w:hAnsiTheme="majorBidi" w:cstheme="majorBidi"/>
          <w:sz w:val="28"/>
          <w:szCs w:val="28"/>
        </w:rPr>
        <w:t>open-angle</w:t>
      </w:r>
      <w:r>
        <w:rPr>
          <w:rFonts w:asciiTheme="majorBidi" w:hAnsiTheme="majorBidi" w:cstheme="majorBidi"/>
          <w:sz w:val="28"/>
          <w:szCs w:val="28"/>
        </w:rPr>
        <w:t xml:space="preserve"> glaucoma.</w:t>
      </w:r>
      <w:r w:rsidR="00D16E7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It could be </w:t>
      </w:r>
      <w:r w:rsidR="00F70108">
        <w:rPr>
          <w:rFonts w:asciiTheme="majorBidi" w:hAnsiTheme="majorBidi" w:cstheme="majorBidi"/>
          <w:sz w:val="28"/>
          <w:szCs w:val="28"/>
        </w:rPr>
        <w:t>performed</w:t>
      </w:r>
      <w:r w:rsidR="00913073">
        <w:rPr>
          <w:rFonts w:asciiTheme="majorBidi" w:hAnsiTheme="majorBidi" w:cstheme="majorBidi"/>
          <w:sz w:val="28"/>
          <w:szCs w:val="28"/>
        </w:rPr>
        <w:t xml:space="preserve"> as a solo </w:t>
      </w:r>
      <w:r w:rsidR="00915F35">
        <w:rPr>
          <w:rFonts w:asciiTheme="majorBidi" w:hAnsiTheme="majorBidi" w:cstheme="majorBidi"/>
          <w:sz w:val="28"/>
          <w:szCs w:val="28"/>
        </w:rPr>
        <w:t>procedure</w:t>
      </w:r>
      <w:r w:rsidR="00913073">
        <w:rPr>
          <w:rFonts w:asciiTheme="majorBidi" w:hAnsiTheme="majorBidi" w:cstheme="majorBidi"/>
          <w:sz w:val="28"/>
          <w:szCs w:val="28"/>
        </w:rPr>
        <w:t xml:space="preserve"> or </w:t>
      </w:r>
      <w:r>
        <w:rPr>
          <w:rFonts w:asciiTheme="majorBidi" w:hAnsiTheme="majorBidi" w:cstheme="majorBidi"/>
          <w:sz w:val="28"/>
          <w:szCs w:val="28"/>
        </w:rPr>
        <w:t xml:space="preserve">combined with </w:t>
      </w:r>
      <w:r w:rsidR="00913073">
        <w:rPr>
          <w:rFonts w:asciiTheme="majorBidi" w:hAnsiTheme="majorBidi" w:cstheme="majorBidi"/>
          <w:sz w:val="28"/>
          <w:szCs w:val="28"/>
        </w:rPr>
        <w:t>phacoemulsification</w:t>
      </w:r>
      <w:r>
        <w:rPr>
          <w:rFonts w:asciiTheme="majorBidi" w:hAnsiTheme="majorBidi" w:cstheme="majorBidi"/>
          <w:sz w:val="28"/>
          <w:szCs w:val="28"/>
        </w:rPr>
        <w:t>.</w:t>
      </w:r>
      <w:r w:rsidR="00D16E70">
        <w:rPr>
          <w:rFonts w:asciiTheme="majorBidi" w:hAnsiTheme="majorBidi" w:cstheme="majorBidi"/>
          <w:sz w:val="28"/>
          <w:szCs w:val="28"/>
        </w:rPr>
        <w:t xml:space="preserve"> </w:t>
      </w:r>
      <w:r w:rsidR="00452E25">
        <w:rPr>
          <w:rFonts w:asciiTheme="majorBidi" w:hAnsiTheme="majorBidi" w:cstheme="majorBidi"/>
          <w:sz w:val="28"/>
          <w:szCs w:val="28"/>
          <w:vertAlign w:val="superscript"/>
        </w:rPr>
        <w:t>17</w:t>
      </w:r>
    </w:p>
    <w:p w14:paraId="7A7EC2DB" w14:textId="4730FE82" w:rsidR="00971567" w:rsidRDefault="00D708D4" w:rsidP="00B552B8">
      <w:pPr>
        <w:spacing w:line="48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Our</w:t>
      </w:r>
      <w:r w:rsidR="00971567">
        <w:rPr>
          <w:rFonts w:asciiTheme="majorBidi" w:hAnsiTheme="majorBidi" w:cstheme="majorBidi"/>
          <w:sz w:val="28"/>
          <w:szCs w:val="28"/>
        </w:rPr>
        <w:t xml:space="preserve"> </w:t>
      </w:r>
      <w:r w:rsidR="00915F35">
        <w:rPr>
          <w:rFonts w:asciiTheme="majorBidi" w:hAnsiTheme="majorBidi" w:cstheme="majorBidi"/>
          <w:sz w:val="28"/>
          <w:szCs w:val="28"/>
        </w:rPr>
        <w:t>research</w:t>
      </w:r>
      <w:r w:rsidR="00971567">
        <w:rPr>
          <w:rFonts w:asciiTheme="majorBidi" w:hAnsiTheme="majorBidi" w:cstheme="majorBidi"/>
          <w:sz w:val="28"/>
          <w:szCs w:val="28"/>
        </w:rPr>
        <w:t xml:space="preserve"> compared </w:t>
      </w:r>
      <w:r w:rsidR="00854152">
        <w:rPr>
          <w:rFonts w:asciiTheme="majorBidi" w:hAnsiTheme="majorBidi" w:cstheme="majorBidi"/>
          <w:sz w:val="28"/>
          <w:szCs w:val="28"/>
        </w:rPr>
        <w:t xml:space="preserve">the effect of </w:t>
      </w:r>
      <w:r w:rsidR="00971567">
        <w:rPr>
          <w:rFonts w:asciiTheme="majorBidi" w:hAnsiTheme="majorBidi" w:cstheme="majorBidi"/>
          <w:sz w:val="28"/>
          <w:szCs w:val="28"/>
        </w:rPr>
        <w:t>combined phaco</w:t>
      </w:r>
      <w:r w:rsidR="00915F35">
        <w:rPr>
          <w:rFonts w:asciiTheme="majorBidi" w:hAnsiTheme="majorBidi" w:cstheme="majorBidi"/>
          <w:sz w:val="28"/>
          <w:szCs w:val="28"/>
        </w:rPr>
        <w:t>emulsification</w:t>
      </w:r>
      <w:r w:rsidR="00971567">
        <w:rPr>
          <w:rFonts w:asciiTheme="majorBidi" w:hAnsiTheme="majorBidi" w:cstheme="majorBidi"/>
          <w:sz w:val="28"/>
          <w:szCs w:val="28"/>
        </w:rPr>
        <w:t>-goniotomy</w:t>
      </w:r>
      <w:r w:rsidR="00754FB2">
        <w:rPr>
          <w:rFonts w:asciiTheme="majorBidi" w:hAnsiTheme="majorBidi" w:cstheme="majorBidi"/>
          <w:sz w:val="28"/>
          <w:szCs w:val="28"/>
        </w:rPr>
        <w:t xml:space="preserve"> vs phacoemulsification</w:t>
      </w:r>
      <w:r w:rsidR="00971567">
        <w:rPr>
          <w:rFonts w:asciiTheme="majorBidi" w:hAnsiTheme="majorBidi" w:cstheme="majorBidi"/>
          <w:sz w:val="28"/>
          <w:szCs w:val="28"/>
        </w:rPr>
        <w:t xml:space="preserve"> in patients with POAG </w:t>
      </w:r>
      <w:r w:rsidR="00754FB2">
        <w:rPr>
          <w:rFonts w:asciiTheme="majorBidi" w:hAnsiTheme="majorBidi" w:cstheme="majorBidi"/>
          <w:sz w:val="28"/>
          <w:szCs w:val="28"/>
        </w:rPr>
        <w:t xml:space="preserve">and cataract </w:t>
      </w:r>
      <w:r w:rsidR="00756446">
        <w:rPr>
          <w:rFonts w:asciiTheme="majorBidi" w:hAnsiTheme="majorBidi" w:cstheme="majorBidi"/>
          <w:sz w:val="28"/>
          <w:szCs w:val="28"/>
        </w:rPr>
        <w:t>regarding the</w:t>
      </w:r>
      <w:r w:rsidR="00971567">
        <w:rPr>
          <w:rFonts w:asciiTheme="majorBidi" w:hAnsiTheme="majorBidi" w:cstheme="majorBidi"/>
          <w:sz w:val="28"/>
          <w:szCs w:val="28"/>
        </w:rPr>
        <w:t xml:space="preserve"> IOP </w:t>
      </w:r>
      <w:r w:rsidR="00754FB2">
        <w:rPr>
          <w:rFonts w:asciiTheme="majorBidi" w:hAnsiTheme="majorBidi" w:cstheme="majorBidi"/>
          <w:sz w:val="28"/>
          <w:szCs w:val="28"/>
        </w:rPr>
        <w:t>change</w:t>
      </w:r>
      <w:r w:rsidR="00971567">
        <w:rPr>
          <w:rFonts w:asciiTheme="majorBidi" w:hAnsiTheme="majorBidi" w:cstheme="majorBidi"/>
          <w:sz w:val="28"/>
          <w:szCs w:val="28"/>
        </w:rPr>
        <w:t xml:space="preserve">, </w:t>
      </w:r>
      <w:r w:rsidR="001C708B">
        <w:rPr>
          <w:rFonts w:asciiTheme="majorBidi" w:hAnsiTheme="majorBidi" w:cstheme="majorBidi"/>
          <w:sz w:val="28"/>
          <w:szCs w:val="28"/>
        </w:rPr>
        <w:t xml:space="preserve">the </w:t>
      </w:r>
      <w:r w:rsidR="00971567">
        <w:rPr>
          <w:rFonts w:asciiTheme="majorBidi" w:hAnsiTheme="majorBidi" w:cstheme="majorBidi"/>
          <w:sz w:val="28"/>
          <w:szCs w:val="28"/>
        </w:rPr>
        <w:t xml:space="preserve">number of </w:t>
      </w:r>
      <w:r w:rsidR="003904E7">
        <w:rPr>
          <w:rFonts w:asciiTheme="majorBidi" w:hAnsiTheme="majorBidi" w:cstheme="majorBidi"/>
          <w:sz w:val="28"/>
          <w:szCs w:val="28"/>
        </w:rPr>
        <w:t>IOP-lowering</w:t>
      </w:r>
      <w:r w:rsidR="00971567">
        <w:rPr>
          <w:rFonts w:asciiTheme="majorBidi" w:hAnsiTheme="majorBidi" w:cstheme="majorBidi"/>
          <w:sz w:val="28"/>
          <w:szCs w:val="28"/>
        </w:rPr>
        <w:t xml:space="preserve"> </w:t>
      </w:r>
      <w:r w:rsidR="001159E1">
        <w:rPr>
          <w:rFonts w:asciiTheme="majorBidi" w:hAnsiTheme="majorBidi" w:cstheme="majorBidi"/>
          <w:sz w:val="28"/>
          <w:szCs w:val="28"/>
        </w:rPr>
        <w:t>medications</w:t>
      </w:r>
      <w:r w:rsidR="00971567">
        <w:rPr>
          <w:rFonts w:asciiTheme="majorBidi" w:hAnsiTheme="majorBidi" w:cstheme="majorBidi"/>
          <w:sz w:val="28"/>
          <w:szCs w:val="28"/>
        </w:rPr>
        <w:t xml:space="preserve">, </w:t>
      </w:r>
      <w:r w:rsidR="00754FB2">
        <w:rPr>
          <w:rFonts w:asciiTheme="majorBidi" w:hAnsiTheme="majorBidi" w:cstheme="majorBidi"/>
          <w:sz w:val="28"/>
          <w:szCs w:val="28"/>
        </w:rPr>
        <w:t>as well as the</w:t>
      </w:r>
      <w:r w:rsidR="006A3635">
        <w:rPr>
          <w:rFonts w:asciiTheme="majorBidi" w:hAnsiTheme="majorBidi" w:cstheme="majorBidi"/>
          <w:sz w:val="28"/>
          <w:szCs w:val="28"/>
        </w:rPr>
        <w:t xml:space="preserve"> </w:t>
      </w:r>
      <w:r w:rsidR="00971567">
        <w:rPr>
          <w:rFonts w:asciiTheme="majorBidi" w:hAnsiTheme="majorBidi" w:cstheme="majorBidi"/>
          <w:sz w:val="28"/>
          <w:szCs w:val="28"/>
        </w:rPr>
        <w:t>safety profile.</w:t>
      </w:r>
      <w:r w:rsidR="00D16E70">
        <w:rPr>
          <w:rFonts w:asciiTheme="majorBidi" w:hAnsiTheme="majorBidi" w:cstheme="majorBidi"/>
          <w:sz w:val="28"/>
          <w:szCs w:val="28"/>
        </w:rPr>
        <w:t xml:space="preserve"> </w:t>
      </w:r>
      <w:r w:rsidR="00971567">
        <w:rPr>
          <w:rFonts w:asciiTheme="majorBidi" w:hAnsiTheme="majorBidi" w:cstheme="majorBidi"/>
          <w:sz w:val="28"/>
          <w:szCs w:val="28"/>
        </w:rPr>
        <w:t xml:space="preserve">We </w:t>
      </w:r>
      <w:r w:rsidR="00754FB2">
        <w:rPr>
          <w:rFonts w:asciiTheme="majorBidi" w:hAnsiTheme="majorBidi" w:cstheme="majorBidi"/>
          <w:sz w:val="28"/>
          <w:szCs w:val="28"/>
        </w:rPr>
        <w:t>noticed</w:t>
      </w:r>
      <w:r w:rsidR="00971567">
        <w:rPr>
          <w:rFonts w:asciiTheme="majorBidi" w:hAnsiTheme="majorBidi" w:cstheme="majorBidi"/>
          <w:sz w:val="28"/>
          <w:szCs w:val="28"/>
        </w:rPr>
        <w:t xml:space="preserve"> a </w:t>
      </w:r>
      <w:r w:rsidR="00971567" w:rsidRPr="007D1DD5">
        <w:rPr>
          <w:rFonts w:asciiTheme="majorBidi" w:hAnsiTheme="majorBidi" w:cstheme="majorBidi"/>
          <w:sz w:val="28"/>
          <w:szCs w:val="28"/>
        </w:rPr>
        <w:t xml:space="preserve">significant </w:t>
      </w:r>
      <w:r w:rsidR="00754FB2">
        <w:rPr>
          <w:rFonts w:asciiTheme="majorBidi" w:hAnsiTheme="majorBidi" w:cstheme="majorBidi"/>
          <w:sz w:val="28"/>
          <w:szCs w:val="28"/>
        </w:rPr>
        <w:t>drop</w:t>
      </w:r>
      <w:r w:rsidR="00971567" w:rsidRPr="007D1DD5">
        <w:rPr>
          <w:rFonts w:asciiTheme="majorBidi" w:hAnsiTheme="majorBidi" w:cstheme="majorBidi"/>
          <w:sz w:val="28"/>
          <w:szCs w:val="28"/>
        </w:rPr>
        <w:t xml:space="preserve"> </w:t>
      </w:r>
      <w:r w:rsidR="003904E7">
        <w:rPr>
          <w:rFonts w:asciiTheme="majorBidi" w:hAnsiTheme="majorBidi" w:cstheme="majorBidi"/>
          <w:sz w:val="28"/>
          <w:szCs w:val="28"/>
        </w:rPr>
        <w:t>in the</w:t>
      </w:r>
      <w:r w:rsidR="00971567" w:rsidRPr="007D1DD5">
        <w:rPr>
          <w:rFonts w:asciiTheme="majorBidi" w:hAnsiTheme="majorBidi" w:cstheme="majorBidi"/>
          <w:sz w:val="28"/>
          <w:szCs w:val="28"/>
        </w:rPr>
        <w:t xml:space="preserve"> </w:t>
      </w:r>
      <w:r w:rsidR="00971567">
        <w:rPr>
          <w:rFonts w:asciiTheme="majorBidi" w:hAnsiTheme="majorBidi" w:cstheme="majorBidi"/>
          <w:sz w:val="28"/>
          <w:szCs w:val="28"/>
        </w:rPr>
        <w:t xml:space="preserve">IOP in moderate </w:t>
      </w:r>
      <w:r w:rsidR="00754FB2">
        <w:rPr>
          <w:rFonts w:asciiTheme="majorBidi" w:hAnsiTheme="majorBidi" w:cstheme="majorBidi"/>
          <w:sz w:val="28"/>
          <w:szCs w:val="28"/>
        </w:rPr>
        <w:t>POAG</w:t>
      </w:r>
      <w:r w:rsidR="00915F35">
        <w:rPr>
          <w:rFonts w:asciiTheme="majorBidi" w:hAnsiTheme="majorBidi" w:cstheme="majorBidi"/>
          <w:sz w:val="28"/>
          <w:szCs w:val="28"/>
        </w:rPr>
        <w:t xml:space="preserve"> patients</w:t>
      </w:r>
      <w:r w:rsidR="002A13F3">
        <w:rPr>
          <w:rFonts w:asciiTheme="majorBidi" w:hAnsiTheme="majorBidi" w:cstheme="majorBidi"/>
          <w:sz w:val="28"/>
          <w:szCs w:val="28"/>
        </w:rPr>
        <w:t xml:space="preserve"> who </w:t>
      </w:r>
      <w:r w:rsidR="00F70108">
        <w:rPr>
          <w:rFonts w:asciiTheme="majorBidi" w:hAnsiTheme="majorBidi" w:cstheme="majorBidi"/>
          <w:sz w:val="28"/>
          <w:szCs w:val="28"/>
        </w:rPr>
        <w:t>underwent</w:t>
      </w:r>
      <w:r w:rsidR="002A13F3">
        <w:rPr>
          <w:rFonts w:asciiTheme="majorBidi" w:hAnsiTheme="majorBidi" w:cstheme="majorBidi"/>
          <w:sz w:val="28"/>
          <w:szCs w:val="28"/>
        </w:rPr>
        <w:t xml:space="preserve"> </w:t>
      </w:r>
      <w:r w:rsidR="00754FB2">
        <w:rPr>
          <w:rFonts w:asciiTheme="majorBidi" w:hAnsiTheme="majorBidi" w:cstheme="majorBidi"/>
          <w:sz w:val="28"/>
          <w:szCs w:val="28"/>
        </w:rPr>
        <w:t>Phacoemulsification-goniotomy</w:t>
      </w:r>
      <w:r w:rsidR="00971567">
        <w:rPr>
          <w:rFonts w:asciiTheme="majorBidi" w:hAnsiTheme="majorBidi" w:cstheme="majorBidi"/>
          <w:sz w:val="28"/>
          <w:szCs w:val="28"/>
        </w:rPr>
        <w:t>.</w:t>
      </w:r>
      <w:r w:rsidR="00D16E70">
        <w:rPr>
          <w:rFonts w:asciiTheme="majorBidi" w:hAnsiTheme="majorBidi" w:cstheme="majorBidi"/>
          <w:sz w:val="28"/>
          <w:szCs w:val="28"/>
        </w:rPr>
        <w:t xml:space="preserve"> </w:t>
      </w:r>
      <w:r w:rsidR="00971567">
        <w:rPr>
          <w:rFonts w:asciiTheme="majorBidi" w:hAnsiTheme="majorBidi" w:cstheme="majorBidi"/>
          <w:sz w:val="28"/>
          <w:szCs w:val="28"/>
        </w:rPr>
        <w:t xml:space="preserve">IOP </w:t>
      </w:r>
      <w:r w:rsidR="00915F35">
        <w:rPr>
          <w:rFonts w:asciiTheme="majorBidi" w:hAnsiTheme="majorBidi" w:cstheme="majorBidi"/>
          <w:sz w:val="28"/>
          <w:szCs w:val="28"/>
        </w:rPr>
        <w:t>plunged</w:t>
      </w:r>
      <w:r w:rsidR="00971567">
        <w:rPr>
          <w:rFonts w:asciiTheme="majorBidi" w:hAnsiTheme="majorBidi" w:cstheme="majorBidi"/>
          <w:sz w:val="28"/>
          <w:szCs w:val="28"/>
        </w:rPr>
        <w:t xml:space="preserve"> by </w:t>
      </w:r>
      <w:r w:rsidR="003D4006">
        <w:rPr>
          <w:rFonts w:asciiTheme="majorBidi" w:hAnsiTheme="majorBidi" w:cstheme="majorBidi"/>
          <w:sz w:val="28"/>
          <w:szCs w:val="28"/>
        </w:rPr>
        <w:t>54.8</w:t>
      </w:r>
      <w:r w:rsidR="00971567" w:rsidRPr="007D1DD5">
        <w:rPr>
          <w:rFonts w:asciiTheme="majorBidi" w:hAnsiTheme="majorBidi" w:cstheme="majorBidi"/>
          <w:sz w:val="28"/>
          <w:szCs w:val="28"/>
        </w:rPr>
        <w:t xml:space="preserve">% </w:t>
      </w:r>
      <w:r w:rsidR="00A55CFF">
        <w:rPr>
          <w:rFonts w:asciiTheme="majorBidi" w:hAnsiTheme="majorBidi" w:cstheme="majorBidi"/>
          <w:sz w:val="28"/>
          <w:szCs w:val="28"/>
        </w:rPr>
        <w:t xml:space="preserve">in the first </w:t>
      </w:r>
      <w:r w:rsidR="00915F35">
        <w:rPr>
          <w:rFonts w:asciiTheme="majorBidi" w:hAnsiTheme="majorBidi" w:cstheme="majorBidi"/>
          <w:sz w:val="28"/>
          <w:szCs w:val="28"/>
        </w:rPr>
        <w:lastRenderedPageBreak/>
        <w:t>follow-up</w:t>
      </w:r>
      <w:r w:rsidR="00A55CFF">
        <w:rPr>
          <w:rFonts w:asciiTheme="majorBidi" w:hAnsiTheme="majorBidi" w:cstheme="majorBidi"/>
          <w:sz w:val="28"/>
          <w:szCs w:val="28"/>
        </w:rPr>
        <w:t xml:space="preserve"> week</w:t>
      </w:r>
      <w:r w:rsidR="00971567">
        <w:rPr>
          <w:rFonts w:asciiTheme="majorBidi" w:hAnsiTheme="majorBidi" w:cstheme="majorBidi"/>
          <w:sz w:val="28"/>
          <w:szCs w:val="28"/>
        </w:rPr>
        <w:t>.</w:t>
      </w:r>
      <w:r w:rsidR="00D16E70">
        <w:rPr>
          <w:rFonts w:asciiTheme="majorBidi" w:hAnsiTheme="majorBidi" w:cstheme="majorBidi"/>
          <w:sz w:val="28"/>
          <w:szCs w:val="28"/>
        </w:rPr>
        <w:t xml:space="preserve"> </w:t>
      </w:r>
      <w:r w:rsidR="00754FB2">
        <w:rPr>
          <w:rFonts w:asciiTheme="majorBidi" w:hAnsiTheme="majorBidi" w:cstheme="majorBidi"/>
          <w:sz w:val="28"/>
          <w:szCs w:val="28"/>
        </w:rPr>
        <w:t>In addition</w:t>
      </w:r>
      <w:r>
        <w:rPr>
          <w:rFonts w:asciiTheme="majorBidi" w:hAnsiTheme="majorBidi" w:cstheme="majorBidi"/>
          <w:sz w:val="28"/>
          <w:szCs w:val="28"/>
        </w:rPr>
        <w:t>, that</w:t>
      </w:r>
      <w:r w:rsidR="00971567" w:rsidRPr="007D1DD5">
        <w:rPr>
          <w:rFonts w:asciiTheme="majorBidi" w:hAnsiTheme="majorBidi" w:cstheme="majorBidi"/>
          <w:sz w:val="28"/>
          <w:szCs w:val="28"/>
        </w:rPr>
        <w:t xml:space="preserve"> effect was </w:t>
      </w:r>
      <w:r w:rsidR="00754FB2">
        <w:rPr>
          <w:rFonts w:asciiTheme="majorBidi" w:hAnsiTheme="majorBidi" w:cstheme="majorBidi"/>
          <w:sz w:val="28"/>
          <w:szCs w:val="28"/>
        </w:rPr>
        <w:t>nearly constant</w:t>
      </w:r>
      <w:r w:rsidR="00971567" w:rsidRPr="007D1DD5">
        <w:rPr>
          <w:rFonts w:asciiTheme="majorBidi" w:hAnsiTheme="majorBidi" w:cstheme="majorBidi"/>
          <w:sz w:val="28"/>
          <w:szCs w:val="28"/>
        </w:rPr>
        <w:t xml:space="preserve"> </w:t>
      </w:r>
      <w:r w:rsidR="00754FB2">
        <w:rPr>
          <w:rFonts w:asciiTheme="majorBidi" w:hAnsiTheme="majorBidi" w:cstheme="majorBidi"/>
          <w:sz w:val="28"/>
          <w:szCs w:val="28"/>
        </w:rPr>
        <w:t xml:space="preserve">during the </w:t>
      </w:r>
      <w:r w:rsidR="00915F35">
        <w:rPr>
          <w:rFonts w:asciiTheme="majorBidi" w:hAnsiTheme="majorBidi" w:cstheme="majorBidi"/>
          <w:sz w:val="28"/>
          <w:szCs w:val="28"/>
        </w:rPr>
        <w:t xml:space="preserve">study period </w:t>
      </w:r>
      <w:r w:rsidR="00F70108">
        <w:rPr>
          <w:rFonts w:asciiTheme="majorBidi" w:hAnsiTheme="majorBidi" w:cstheme="majorBidi"/>
          <w:sz w:val="28"/>
          <w:szCs w:val="28"/>
        </w:rPr>
        <w:t>with no</w:t>
      </w:r>
      <w:r w:rsidR="00971567" w:rsidRPr="007D1DD5">
        <w:rPr>
          <w:rFonts w:asciiTheme="majorBidi" w:hAnsiTheme="majorBidi" w:cstheme="majorBidi"/>
          <w:sz w:val="28"/>
          <w:szCs w:val="28"/>
        </w:rPr>
        <w:t xml:space="preserve"> need </w:t>
      </w:r>
      <w:r w:rsidR="00754FB2">
        <w:rPr>
          <w:rFonts w:asciiTheme="majorBidi" w:hAnsiTheme="majorBidi" w:cstheme="majorBidi"/>
          <w:sz w:val="28"/>
          <w:szCs w:val="28"/>
        </w:rPr>
        <w:t>to reinstate the</w:t>
      </w:r>
      <w:r w:rsidR="00971567" w:rsidRPr="007D1DD5">
        <w:rPr>
          <w:rFonts w:asciiTheme="majorBidi" w:hAnsiTheme="majorBidi" w:cstheme="majorBidi"/>
          <w:sz w:val="28"/>
          <w:szCs w:val="28"/>
        </w:rPr>
        <w:t xml:space="preserve"> </w:t>
      </w:r>
      <w:r w:rsidR="00854152">
        <w:rPr>
          <w:rFonts w:asciiTheme="majorBidi" w:hAnsiTheme="majorBidi" w:cstheme="majorBidi"/>
          <w:sz w:val="28"/>
          <w:szCs w:val="28"/>
        </w:rPr>
        <w:t>IOP lowering</w:t>
      </w:r>
      <w:r w:rsidR="00971567" w:rsidRPr="007D1DD5">
        <w:rPr>
          <w:rFonts w:asciiTheme="majorBidi" w:hAnsiTheme="majorBidi" w:cstheme="majorBidi"/>
          <w:sz w:val="28"/>
          <w:szCs w:val="28"/>
        </w:rPr>
        <w:t xml:space="preserve"> </w:t>
      </w:r>
      <w:r w:rsidR="00915F35">
        <w:rPr>
          <w:rFonts w:asciiTheme="majorBidi" w:hAnsiTheme="majorBidi" w:cstheme="majorBidi"/>
          <w:sz w:val="28"/>
          <w:szCs w:val="28"/>
        </w:rPr>
        <w:t>drops</w:t>
      </w:r>
      <w:r w:rsidR="00971567" w:rsidRPr="007D1DD5">
        <w:rPr>
          <w:rFonts w:asciiTheme="majorBidi" w:hAnsiTheme="majorBidi" w:cstheme="majorBidi"/>
          <w:sz w:val="28"/>
          <w:szCs w:val="28"/>
        </w:rPr>
        <w:t>.</w:t>
      </w:r>
      <w:r w:rsidR="00971567">
        <w:rPr>
          <w:rFonts w:asciiTheme="majorBidi" w:hAnsiTheme="majorBidi" w:cstheme="majorBidi"/>
          <w:sz w:val="28"/>
          <w:szCs w:val="28"/>
        </w:rPr>
        <w:t xml:space="preserve"> </w:t>
      </w:r>
    </w:p>
    <w:p w14:paraId="093E7A28" w14:textId="6197DFDF" w:rsidR="00A55CFF" w:rsidRDefault="00F70108" w:rsidP="00B552B8">
      <w:pPr>
        <w:spacing w:line="48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 contrast</w:t>
      </w:r>
      <w:r w:rsidR="00971567" w:rsidRPr="007D1DD5">
        <w:rPr>
          <w:rFonts w:asciiTheme="majorBidi" w:hAnsiTheme="majorBidi" w:cstheme="majorBidi"/>
          <w:sz w:val="28"/>
          <w:szCs w:val="28"/>
        </w:rPr>
        <w:t xml:space="preserve">, combined </w:t>
      </w:r>
      <w:r w:rsidR="00751486">
        <w:rPr>
          <w:rFonts w:asciiTheme="majorBidi" w:hAnsiTheme="majorBidi" w:cstheme="majorBidi"/>
          <w:sz w:val="28"/>
          <w:szCs w:val="28"/>
        </w:rPr>
        <w:t>Phacoemulsification-goniotomy</w:t>
      </w:r>
      <w:r w:rsidR="00751486" w:rsidRPr="007D1DD5">
        <w:rPr>
          <w:rFonts w:asciiTheme="majorBidi" w:hAnsiTheme="majorBidi" w:cstheme="majorBidi"/>
          <w:sz w:val="28"/>
          <w:szCs w:val="28"/>
        </w:rPr>
        <w:t xml:space="preserve"> </w:t>
      </w:r>
      <w:r w:rsidR="0026357D">
        <w:rPr>
          <w:rFonts w:asciiTheme="majorBidi" w:hAnsiTheme="majorBidi" w:cstheme="majorBidi"/>
          <w:sz w:val="28"/>
          <w:szCs w:val="28"/>
        </w:rPr>
        <w:t>achieved</w:t>
      </w:r>
      <w:r w:rsidR="00971567">
        <w:rPr>
          <w:rFonts w:asciiTheme="majorBidi" w:hAnsiTheme="majorBidi" w:cstheme="majorBidi"/>
          <w:sz w:val="28"/>
          <w:szCs w:val="28"/>
        </w:rPr>
        <w:t xml:space="preserve"> </w:t>
      </w:r>
      <w:r w:rsidR="00971567" w:rsidRPr="007D1DD5">
        <w:rPr>
          <w:rFonts w:asciiTheme="majorBidi" w:hAnsiTheme="majorBidi" w:cstheme="majorBidi"/>
          <w:sz w:val="28"/>
          <w:szCs w:val="28"/>
        </w:rPr>
        <w:t xml:space="preserve">a significant </w:t>
      </w:r>
      <w:r w:rsidR="00751486">
        <w:rPr>
          <w:rFonts w:asciiTheme="majorBidi" w:hAnsiTheme="majorBidi" w:cstheme="majorBidi"/>
          <w:sz w:val="28"/>
          <w:szCs w:val="28"/>
        </w:rPr>
        <w:t xml:space="preserve">23.5% </w:t>
      </w:r>
      <w:r w:rsidR="00971567" w:rsidRPr="007D1DD5">
        <w:rPr>
          <w:rFonts w:asciiTheme="majorBidi" w:hAnsiTheme="majorBidi" w:cstheme="majorBidi"/>
          <w:sz w:val="28"/>
          <w:szCs w:val="28"/>
        </w:rPr>
        <w:t xml:space="preserve">IOP </w:t>
      </w:r>
      <w:r w:rsidR="0054669B">
        <w:rPr>
          <w:rFonts w:asciiTheme="majorBidi" w:hAnsiTheme="majorBidi" w:cstheme="majorBidi"/>
          <w:sz w:val="28"/>
          <w:szCs w:val="28"/>
        </w:rPr>
        <w:t xml:space="preserve">reduction </w:t>
      </w:r>
      <w:r w:rsidRPr="007D1DD5">
        <w:rPr>
          <w:rFonts w:asciiTheme="majorBidi" w:hAnsiTheme="majorBidi" w:cstheme="majorBidi"/>
          <w:sz w:val="28"/>
          <w:szCs w:val="28"/>
        </w:rPr>
        <w:t xml:space="preserve">in </w:t>
      </w:r>
      <w:r>
        <w:rPr>
          <w:rFonts w:asciiTheme="majorBidi" w:hAnsiTheme="majorBidi" w:cstheme="majorBidi"/>
          <w:sz w:val="28"/>
          <w:szCs w:val="28"/>
        </w:rPr>
        <w:t xml:space="preserve">patients with </w:t>
      </w:r>
      <w:r w:rsidRPr="007D1DD5">
        <w:rPr>
          <w:rFonts w:asciiTheme="majorBidi" w:hAnsiTheme="majorBidi" w:cstheme="majorBidi"/>
          <w:sz w:val="28"/>
          <w:szCs w:val="28"/>
        </w:rPr>
        <w:t>severe POAG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51486">
        <w:rPr>
          <w:rFonts w:asciiTheme="majorBidi" w:hAnsiTheme="majorBidi" w:cstheme="majorBidi"/>
          <w:sz w:val="28"/>
          <w:szCs w:val="28"/>
        </w:rPr>
        <w:t>compared to</w:t>
      </w:r>
      <w:r w:rsidR="00971567" w:rsidRPr="007D1DD5">
        <w:rPr>
          <w:rFonts w:asciiTheme="majorBidi" w:hAnsiTheme="majorBidi" w:cstheme="majorBidi"/>
          <w:sz w:val="28"/>
          <w:szCs w:val="28"/>
        </w:rPr>
        <w:t xml:space="preserve"> </w:t>
      </w:r>
      <w:r w:rsidR="00971567">
        <w:rPr>
          <w:rFonts w:asciiTheme="majorBidi" w:hAnsiTheme="majorBidi" w:cstheme="majorBidi"/>
          <w:sz w:val="28"/>
          <w:szCs w:val="28"/>
        </w:rPr>
        <w:t xml:space="preserve">the </w:t>
      </w:r>
      <w:r w:rsidR="00971567" w:rsidRPr="007D1DD5">
        <w:rPr>
          <w:rFonts w:asciiTheme="majorBidi" w:hAnsiTheme="majorBidi" w:cstheme="majorBidi"/>
          <w:sz w:val="28"/>
          <w:szCs w:val="28"/>
        </w:rPr>
        <w:t xml:space="preserve">non-medicated </w:t>
      </w:r>
      <w:r w:rsidR="00915F35">
        <w:rPr>
          <w:rFonts w:asciiTheme="majorBidi" w:hAnsiTheme="majorBidi" w:cstheme="majorBidi"/>
          <w:sz w:val="28"/>
          <w:szCs w:val="28"/>
        </w:rPr>
        <w:t xml:space="preserve">preoperative </w:t>
      </w:r>
      <w:r w:rsidR="00751486">
        <w:rPr>
          <w:rFonts w:asciiTheme="majorBidi" w:hAnsiTheme="majorBidi" w:cstheme="majorBidi"/>
          <w:sz w:val="28"/>
          <w:szCs w:val="28"/>
        </w:rPr>
        <w:t>IOP</w:t>
      </w:r>
      <w:r w:rsidR="00971567">
        <w:rPr>
          <w:rFonts w:asciiTheme="majorBidi" w:hAnsiTheme="majorBidi" w:cstheme="majorBidi"/>
          <w:sz w:val="28"/>
          <w:szCs w:val="28"/>
        </w:rPr>
        <w:t>.</w:t>
      </w:r>
      <w:r w:rsidR="00D16E70">
        <w:rPr>
          <w:rFonts w:asciiTheme="majorBidi" w:hAnsiTheme="majorBidi" w:cstheme="majorBidi"/>
          <w:sz w:val="28"/>
          <w:szCs w:val="28"/>
        </w:rPr>
        <w:t xml:space="preserve"> </w:t>
      </w:r>
      <w:r w:rsidR="00A55CFF">
        <w:rPr>
          <w:rFonts w:asciiTheme="majorBidi" w:hAnsiTheme="majorBidi" w:cstheme="majorBidi"/>
          <w:sz w:val="28"/>
          <w:szCs w:val="28"/>
        </w:rPr>
        <w:t>However, t</w:t>
      </w:r>
      <w:r w:rsidR="00971567" w:rsidRPr="007D1DD5">
        <w:rPr>
          <w:rFonts w:asciiTheme="majorBidi" w:hAnsiTheme="majorBidi" w:cstheme="majorBidi"/>
          <w:sz w:val="28"/>
          <w:szCs w:val="28"/>
        </w:rPr>
        <w:t xml:space="preserve">hat effect </w:t>
      </w:r>
      <w:r w:rsidR="003D4006">
        <w:rPr>
          <w:rFonts w:asciiTheme="majorBidi" w:hAnsiTheme="majorBidi" w:cstheme="majorBidi"/>
          <w:sz w:val="28"/>
          <w:szCs w:val="28"/>
        </w:rPr>
        <w:t xml:space="preserve">was </w:t>
      </w:r>
      <w:r w:rsidR="00E73A8A">
        <w:rPr>
          <w:rFonts w:asciiTheme="majorBidi" w:hAnsiTheme="majorBidi" w:cstheme="majorBidi"/>
          <w:sz w:val="28"/>
          <w:szCs w:val="28"/>
        </w:rPr>
        <w:t>not enough to reach</w:t>
      </w:r>
      <w:r w:rsidR="003D4006">
        <w:rPr>
          <w:rFonts w:asciiTheme="majorBidi" w:hAnsiTheme="majorBidi" w:cstheme="majorBidi"/>
          <w:sz w:val="28"/>
          <w:szCs w:val="28"/>
        </w:rPr>
        <w:t xml:space="preserve"> </w:t>
      </w:r>
      <w:r w:rsidR="00756446">
        <w:rPr>
          <w:rFonts w:asciiTheme="majorBidi" w:hAnsiTheme="majorBidi" w:cstheme="majorBidi"/>
          <w:sz w:val="28"/>
          <w:szCs w:val="28"/>
        </w:rPr>
        <w:t>their</w:t>
      </w:r>
      <w:r w:rsidR="003D4006">
        <w:rPr>
          <w:rFonts w:asciiTheme="majorBidi" w:hAnsiTheme="majorBidi" w:cstheme="majorBidi"/>
          <w:sz w:val="28"/>
          <w:szCs w:val="28"/>
        </w:rPr>
        <w:t xml:space="preserve"> target IOP</w:t>
      </w:r>
      <w:r w:rsidR="00971567" w:rsidRPr="007D1DD5">
        <w:rPr>
          <w:rFonts w:asciiTheme="majorBidi" w:hAnsiTheme="majorBidi" w:cstheme="majorBidi"/>
          <w:sz w:val="28"/>
          <w:szCs w:val="28"/>
        </w:rPr>
        <w:t xml:space="preserve">, </w:t>
      </w:r>
      <w:r w:rsidR="00751486">
        <w:rPr>
          <w:rFonts w:asciiTheme="majorBidi" w:hAnsiTheme="majorBidi" w:cstheme="majorBidi"/>
          <w:sz w:val="28"/>
          <w:szCs w:val="28"/>
        </w:rPr>
        <w:t>therefore</w:t>
      </w:r>
      <w:r w:rsidR="00971567" w:rsidRPr="007D1DD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we needed to reinstate the IOP lowering medications for </w:t>
      </w:r>
      <w:r w:rsidR="00971567" w:rsidRPr="007D1DD5">
        <w:rPr>
          <w:rFonts w:asciiTheme="majorBidi" w:hAnsiTheme="majorBidi" w:cstheme="majorBidi"/>
          <w:sz w:val="28"/>
          <w:szCs w:val="28"/>
        </w:rPr>
        <w:t>th</w:t>
      </w:r>
      <w:r w:rsidR="003D4006">
        <w:rPr>
          <w:rFonts w:asciiTheme="majorBidi" w:hAnsiTheme="majorBidi" w:cstheme="majorBidi"/>
          <w:sz w:val="28"/>
          <w:szCs w:val="28"/>
        </w:rPr>
        <w:t>ose</w:t>
      </w:r>
      <w:r w:rsidR="00971567" w:rsidRPr="007D1DD5">
        <w:rPr>
          <w:rFonts w:asciiTheme="majorBidi" w:hAnsiTheme="majorBidi" w:cstheme="majorBidi"/>
          <w:sz w:val="28"/>
          <w:szCs w:val="28"/>
        </w:rPr>
        <w:t xml:space="preserve"> patient</w:t>
      </w:r>
      <w:r w:rsidR="00971567">
        <w:rPr>
          <w:rFonts w:asciiTheme="majorBidi" w:hAnsiTheme="majorBidi" w:cstheme="majorBidi"/>
          <w:sz w:val="28"/>
          <w:szCs w:val="28"/>
        </w:rPr>
        <w:t>s.</w:t>
      </w:r>
      <w:r w:rsidR="00D16E70">
        <w:rPr>
          <w:rFonts w:asciiTheme="majorBidi" w:hAnsiTheme="majorBidi" w:cstheme="majorBidi"/>
          <w:sz w:val="28"/>
          <w:szCs w:val="28"/>
        </w:rPr>
        <w:t xml:space="preserve"> </w:t>
      </w:r>
      <w:r w:rsidR="00854152">
        <w:rPr>
          <w:rFonts w:asciiTheme="majorBidi" w:hAnsiTheme="majorBidi" w:cstheme="majorBidi"/>
          <w:sz w:val="28"/>
          <w:szCs w:val="28"/>
        </w:rPr>
        <w:t xml:space="preserve">By the end of the </w:t>
      </w:r>
      <w:r w:rsidR="00915F35">
        <w:rPr>
          <w:rFonts w:asciiTheme="majorBidi" w:hAnsiTheme="majorBidi" w:cstheme="majorBidi"/>
          <w:sz w:val="28"/>
          <w:szCs w:val="28"/>
        </w:rPr>
        <w:t>study</w:t>
      </w:r>
      <w:r w:rsidR="00854152">
        <w:rPr>
          <w:rFonts w:asciiTheme="majorBidi" w:hAnsiTheme="majorBidi" w:cstheme="majorBidi"/>
          <w:sz w:val="28"/>
          <w:szCs w:val="28"/>
        </w:rPr>
        <w:t>, t</w:t>
      </w:r>
      <w:r w:rsidR="00A55CFF">
        <w:rPr>
          <w:rFonts w:asciiTheme="majorBidi" w:hAnsiTheme="majorBidi" w:cstheme="majorBidi"/>
          <w:sz w:val="28"/>
          <w:szCs w:val="28"/>
        </w:rPr>
        <w:t xml:space="preserve">hey </w:t>
      </w:r>
      <w:r w:rsidR="00751486">
        <w:rPr>
          <w:rFonts w:asciiTheme="majorBidi" w:hAnsiTheme="majorBidi" w:cstheme="majorBidi"/>
          <w:sz w:val="28"/>
          <w:szCs w:val="28"/>
        </w:rPr>
        <w:t>needed</w:t>
      </w:r>
      <w:r w:rsidR="00756446">
        <w:rPr>
          <w:rFonts w:asciiTheme="majorBidi" w:hAnsiTheme="majorBidi" w:cstheme="majorBidi"/>
          <w:sz w:val="28"/>
          <w:szCs w:val="28"/>
        </w:rPr>
        <w:t xml:space="preserve"> a</w:t>
      </w:r>
      <w:r w:rsidR="00A55CFF">
        <w:rPr>
          <w:rFonts w:asciiTheme="majorBidi" w:hAnsiTheme="majorBidi" w:cstheme="majorBidi"/>
          <w:sz w:val="28"/>
          <w:szCs w:val="28"/>
        </w:rPr>
        <w:t xml:space="preserve"> </w:t>
      </w:r>
      <w:r w:rsidR="00971567" w:rsidRPr="007D1DD5">
        <w:rPr>
          <w:rFonts w:asciiTheme="majorBidi" w:hAnsiTheme="majorBidi" w:cstheme="majorBidi"/>
          <w:sz w:val="28"/>
          <w:szCs w:val="28"/>
        </w:rPr>
        <w:t xml:space="preserve">fewer </w:t>
      </w:r>
      <w:r w:rsidR="00756446">
        <w:rPr>
          <w:rFonts w:asciiTheme="majorBidi" w:hAnsiTheme="majorBidi" w:cstheme="majorBidi"/>
          <w:sz w:val="28"/>
          <w:szCs w:val="28"/>
        </w:rPr>
        <w:t xml:space="preserve">number of IOP lowering </w:t>
      </w:r>
      <w:r w:rsidR="00915F35">
        <w:rPr>
          <w:rFonts w:asciiTheme="majorBidi" w:hAnsiTheme="majorBidi" w:cstheme="majorBidi"/>
          <w:sz w:val="28"/>
          <w:szCs w:val="28"/>
        </w:rPr>
        <w:t>medications</w:t>
      </w:r>
      <w:r w:rsidR="00971567">
        <w:rPr>
          <w:rFonts w:asciiTheme="majorBidi" w:hAnsiTheme="majorBidi" w:cstheme="majorBidi"/>
          <w:sz w:val="28"/>
          <w:szCs w:val="28"/>
        </w:rPr>
        <w:t xml:space="preserve"> </w:t>
      </w:r>
      <w:r w:rsidR="00854152">
        <w:rPr>
          <w:rFonts w:asciiTheme="majorBidi" w:hAnsiTheme="majorBidi" w:cstheme="majorBidi"/>
          <w:sz w:val="28"/>
          <w:szCs w:val="28"/>
        </w:rPr>
        <w:t xml:space="preserve">than </w:t>
      </w:r>
      <w:r w:rsidR="00756446">
        <w:rPr>
          <w:rFonts w:asciiTheme="majorBidi" w:hAnsiTheme="majorBidi" w:cstheme="majorBidi"/>
          <w:sz w:val="28"/>
          <w:szCs w:val="28"/>
        </w:rPr>
        <w:t xml:space="preserve">they used before </w:t>
      </w:r>
      <w:r w:rsidR="00751486">
        <w:rPr>
          <w:rFonts w:asciiTheme="majorBidi" w:hAnsiTheme="majorBidi" w:cstheme="majorBidi"/>
          <w:sz w:val="28"/>
          <w:szCs w:val="28"/>
        </w:rPr>
        <w:t xml:space="preserve">undergoing </w:t>
      </w:r>
      <w:r w:rsidR="00756446">
        <w:rPr>
          <w:rFonts w:asciiTheme="majorBidi" w:hAnsiTheme="majorBidi" w:cstheme="majorBidi"/>
          <w:sz w:val="28"/>
          <w:szCs w:val="28"/>
        </w:rPr>
        <w:t>surgery</w:t>
      </w:r>
      <w:r w:rsidR="00A55CFF">
        <w:rPr>
          <w:rFonts w:asciiTheme="majorBidi" w:hAnsiTheme="majorBidi" w:cstheme="majorBidi"/>
          <w:sz w:val="28"/>
          <w:szCs w:val="28"/>
        </w:rPr>
        <w:t>.</w:t>
      </w:r>
    </w:p>
    <w:p w14:paraId="6C06410B" w14:textId="5CB592D5" w:rsidR="00A55CFF" w:rsidRPr="007A0C14" w:rsidRDefault="00E50DE9" w:rsidP="00B552B8">
      <w:pPr>
        <w:spacing w:line="48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Patients who had </w:t>
      </w:r>
      <w:r w:rsidR="00A55CFF">
        <w:rPr>
          <w:rFonts w:asciiTheme="majorBidi" w:hAnsiTheme="majorBidi" w:cstheme="majorBidi"/>
          <w:sz w:val="28"/>
          <w:szCs w:val="28"/>
        </w:rPr>
        <w:t xml:space="preserve">Phacoemulsification alone did not </w:t>
      </w:r>
      <w:r w:rsidR="000A5562">
        <w:rPr>
          <w:rFonts w:asciiTheme="majorBidi" w:hAnsiTheme="majorBidi" w:cstheme="majorBidi"/>
          <w:sz w:val="28"/>
          <w:szCs w:val="28"/>
        </w:rPr>
        <w:t>achieve</w:t>
      </w:r>
      <w:r w:rsidR="00A55CFF">
        <w:rPr>
          <w:rFonts w:asciiTheme="majorBidi" w:hAnsiTheme="majorBidi" w:cstheme="majorBidi"/>
          <w:sz w:val="28"/>
          <w:szCs w:val="28"/>
        </w:rPr>
        <w:t xml:space="preserve"> </w:t>
      </w:r>
      <w:r w:rsidR="009A6D88">
        <w:rPr>
          <w:rFonts w:asciiTheme="majorBidi" w:hAnsiTheme="majorBidi" w:cstheme="majorBidi"/>
          <w:sz w:val="28"/>
          <w:szCs w:val="28"/>
        </w:rPr>
        <w:t xml:space="preserve">a </w:t>
      </w:r>
      <w:r w:rsidR="00A55CFF">
        <w:rPr>
          <w:rFonts w:asciiTheme="majorBidi" w:hAnsiTheme="majorBidi" w:cstheme="majorBidi"/>
          <w:sz w:val="28"/>
          <w:szCs w:val="28"/>
        </w:rPr>
        <w:t xml:space="preserve">significant </w:t>
      </w:r>
      <w:r>
        <w:rPr>
          <w:rFonts w:asciiTheme="majorBidi" w:hAnsiTheme="majorBidi" w:cstheme="majorBidi"/>
          <w:sz w:val="28"/>
          <w:szCs w:val="28"/>
        </w:rPr>
        <w:t>change</w:t>
      </w:r>
      <w:r w:rsidR="00A55CFF">
        <w:rPr>
          <w:rFonts w:asciiTheme="majorBidi" w:hAnsiTheme="majorBidi" w:cstheme="majorBidi"/>
          <w:sz w:val="28"/>
          <w:szCs w:val="28"/>
        </w:rPr>
        <w:t xml:space="preserve"> </w:t>
      </w:r>
      <w:r w:rsidR="00D708D4">
        <w:rPr>
          <w:rFonts w:asciiTheme="majorBidi" w:hAnsiTheme="majorBidi" w:cstheme="majorBidi"/>
          <w:sz w:val="28"/>
          <w:szCs w:val="28"/>
        </w:rPr>
        <w:t>in</w:t>
      </w:r>
      <w:r w:rsidR="00A55CF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their</w:t>
      </w:r>
      <w:r w:rsidR="000A5562">
        <w:rPr>
          <w:rFonts w:asciiTheme="majorBidi" w:hAnsiTheme="majorBidi" w:cstheme="majorBidi"/>
          <w:sz w:val="28"/>
          <w:szCs w:val="28"/>
        </w:rPr>
        <w:t xml:space="preserve"> </w:t>
      </w:r>
      <w:r w:rsidR="00A55CFF">
        <w:rPr>
          <w:rFonts w:asciiTheme="majorBidi" w:hAnsiTheme="majorBidi" w:cstheme="majorBidi"/>
          <w:sz w:val="28"/>
          <w:szCs w:val="28"/>
        </w:rPr>
        <w:t>IOP.</w:t>
      </w:r>
      <w:r w:rsidR="00D16E70">
        <w:rPr>
          <w:rFonts w:asciiTheme="majorBidi" w:hAnsiTheme="majorBidi" w:cstheme="majorBidi"/>
          <w:sz w:val="28"/>
          <w:szCs w:val="28"/>
        </w:rPr>
        <w:t xml:space="preserve"> </w:t>
      </w:r>
      <w:r w:rsidR="00A55CFF">
        <w:rPr>
          <w:rFonts w:asciiTheme="majorBidi" w:hAnsiTheme="majorBidi" w:cstheme="majorBidi"/>
          <w:sz w:val="28"/>
          <w:szCs w:val="28"/>
        </w:rPr>
        <w:t xml:space="preserve">By the end of the </w:t>
      </w:r>
      <w:r w:rsidR="00915F35">
        <w:rPr>
          <w:rFonts w:asciiTheme="majorBidi" w:hAnsiTheme="majorBidi" w:cstheme="majorBidi"/>
          <w:sz w:val="28"/>
          <w:szCs w:val="28"/>
        </w:rPr>
        <w:t>study</w:t>
      </w:r>
      <w:r w:rsidR="00A55CFF">
        <w:rPr>
          <w:rFonts w:asciiTheme="majorBidi" w:hAnsiTheme="majorBidi" w:cstheme="majorBidi"/>
          <w:sz w:val="28"/>
          <w:szCs w:val="28"/>
        </w:rPr>
        <w:t xml:space="preserve">, all moderate </w:t>
      </w:r>
      <w:r w:rsidR="0053527D">
        <w:rPr>
          <w:rFonts w:asciiTheme="majorBidi" w:hAnsiTheme="majorBidi" w:cstheme="majorBidi"/>
          <w:sz w:val="28"/>
          <w:szCs w:val="28"/>
        </w:rPr>
        <w:t>and</w:t>
      </w:r>
      <w:r w:rsidR="00A55CFF">
        <w:rPr>
          <w:rFonts w:asciiTheme="majorBidi" w:hAnsiTheme="majorBidi" w:cstheme="majorBidi"/>
          <w:sz w:val="28"/>
          <w:szCs w:val="28"/>
        </w:rPr>
        <w:t xml:space="preserve"> severe</w:t>
      </w:r>
      <w:r>
        <w:rPr>
          <w:rFonts w:asciiTheme="majorBidi" w:hAnsiTheme="majorBidi" w:cstheme="majorBidi"/>
          <w:sz w:val="28"/>
          <w:szCs w:val="28"/>
        </w:rPr>
        <w:t xml:space="preserve"> glaucoma</w:t>
      </w:r>
      <w:r w:rsidR="0053527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3527D">
        <w:rPr>
          <w:rFonts w:asciiTheme="majorBidi" w:hAnsiTheme="majorBidi" w:cstheme="majorBidi"/>
          <w:sz w:val="28"/>
          <w:szCs w:val="28"/>
        </w:rPr>
        <w:t>pattients</w:t>
      </w:r>
      <w:proofErr w:type="spellEnd"/>
      <w:r w:rsidR="00A55CF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ended with</w:t>
      </w:r>
      <w:r w:rsidR="00A55CFF">
        <w:rPr>
          <w:rFonts w:asciiTheme="majorBidi" w:hAnsiTheme="majorBidi" w:cstheme="majorBidi"/>
          <w:sz w:val="28"/>
          <w:szCs w:val="28"/>
        </w:rPr>
        <w:t xml:space="preserve"> the same number of IOP lowering </w:t>
      </w:r>
      <w:r w:rsidR="00915F35">
        <w:rPr>
          <w:rFonts w:asciiTheme="majorBidi" w:hAnsiTheme="majorBidi" w:cstheme="majorBidi"/>
          <w:sz w:val="28"/>
          <w:szCs w:val="28"/>
        </w:rPr>
        <w:t>medications</w:t>
      </w:r>
      <w:r w:rsidR="00D878EA">
        <w:rPr>
          <w:rFonts w:asciiTheme="majorBidi" w:hAnsiTheme="majorBidi" w:cstheme="majorBidi"/>
          <w:sz w:val="28"/>
          <w:szCs w:val="28"/>
        </w:rPr>
        <w:t xml:space="preserve"> as</w:t>
      </w:r>
      <w:r w:rsidR="00A55CFF">
        <w:rPr>
          <w:rFonts w:asciiTheme="majorBidi" w:hAnsiTheme="majorBidi" w:cstheme="majorBidi"/>
          <w:sz w:val="28"/>
          <w:szCs w:val="28"/>
        </w:rPr>
        <w:t xml:space="preserve"> they were using before</w:t>
      </w:r>
      <w:r>
        <w:rPr>
          <w:rFonts w:asciiTheme="majorBidi" w:hAnsiTheme="majorBidi" w:cstheme="majorBidi"/>
          <w:sz w:val="28"/>
          <w:szCs w:val="28"/>
        </w:rPr>
        <w:t xml:space="preserve"> undergoing</w:t>
      </w:r>
      <w:r w:rsidR="00A55CFF">
        <w:rPr>
          <w:rFonts w:asciiTheme="majorBidi" w:hAnsiTheme="majorBidi" w:cstheme="majorBidi"/>
          <w:sz w:val="28"/>
          <w:szCs w:val="28"/>
        </w:rPr>
        <w:t xml:space="preserve"> surgery.</w:t>
      </w:r>
      <w:r w:rsidR="00971567">
        <w:rPr>
          <w:rFonts w:asciiTheme="majorBidi" w:hAnsiTheme="majorBidi" w:cstheme="majorBidi"/>
          <w:sz w:val="28"/>
          <w:szCs w:val="28"/>
        </w:rPr>
        <w:t xml:space="preserve"> </w:t>
      </w:r>
    </w:p>
    <w:p w14:paraId="08DCD9B1" w14:textId="7B6F6F84" w:rsidR="00971567" w:rsidRDefault="00583747" w:rsidP="00B4416D">
      <w:pPr>
        <w:spacing w:line="48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Our</w:t>
      </w:r>
      <w:r w:rsidR="00E07700">
        <w:rPr>
          <w:rFonts w:asciiTheme="majorBidi" w:hAnsiTheme="majorBidi" w:cstheme="majorBidi"/>
          <w:sz w:val="28"/>
          <w:szCs w:val="28"/>
        </w:rPr>
        <w:t xml:space="preserve"> results</w:t>
      </w:r>
      <w:r w:rsidR="00971567" w:rsidRPr="00FA7596">
        <w:rPr>
          <w:rFonts w:asciiTheme="majorBidi" w:hAnsiTheme="majorBidi" w:cstheme="majorBidi"/>
          <w:sz w:val="28"/>
          <w:szCs w:val="28"/>
        </w:rPr>
        <w:t xml:space="preserve"> </w:t>
      </w:r>
      <w:r w:rsidR="007A3286">
        <w:rPr>
          <w:rFonts w:asciiTheme="majorBidi" w:hAnsiTheme="majorBidi" w:cstheme="majorBidi"/>
          <w:sz w:val="28"/>
          <w:szCs w:val="28"/>
        </w:rPr>
        <w:t xml:space="preserve">are </w:t>
      </w:r>
      <w:r w:rsidR="00E50DE9">
        <w:rPr>
          <w:rFonts w:asciiTheme="majorBidi" w:hAnsiTheme="majorBidi" w:cstheme="majorBidi"/>
          <w:sz w:val="28"/>
          <w:szCs w:val="28"/>
        </w:rPr>
        <w:t>in line</w:t>
      </w:r>
      <w:r w:rsidR="007A3286">
        <w:rPr>
          <w:rFonts w:asciiTheme="majorBidi" w:hAnsiTheme="majorBidi" w:cstheme="majorBidi"/>
          <w:sz w:val="28"/>
          <w:szCs w:val="28"/>
        </w:rPr>
        <w:t xml:space="preserve"> with </w:t>
      </w:r>
      <w:r w:rsidR="00E50DE9">
        <w:rPr>
          <w:rFonts w:asciiTheme="majorBidi" w:hAnsiTheme="majorBidi" w:cstheme="majorBidi"/>
          <w:sz w:val="28"/>
          <w:szCs w:val="28"/>
        </w:rPr>
        <w:t xml:space="preserve">the </w:t>
      </w:r>
      <w:r w:rsidR="007A3286">
        <w:rPr>
          <w:rFonts w:asciiTheme="majorBidi" w:hAnsiTheme="majorBidi" w:cstheme="majorBidi"/>
          <w:sz w:val="28"/>
          <w:szCs w:val="28"/>
        </w:rPr>
        <w:t xml:space="preserve">published </w:t>
      </w:r>
      <w:r w:rsidR="00016967">
        <w:rPr>
          <w:rFonts w:asciiTheme="majorBidi" w:hAnsiTheme="majorBidi" w:cstheme="majorBidi"/>
          <w:sz w:val="28"/>
          <w:szCs w:val="28"/>
        </w:rPr>
        <w:t>literature</w:t>
      </w:r>
      <w:r w:rsidR="007A3286">
        <w:rPr>
          <w:rFonts w:asciiTheme="majorBidi" w:hAnsiTheme="majorBidi" w:cstheme="majorBidi"/>
          <w:sz w:val="28"/>
          <w:szCs w:val="28"/>
        </w:rPr>
        <w:t>.</w:t>
      </w:r>
      <w:r w:rsidR="00D16E70">
        <w:rPr>
          <w:rFonts w:asciiTheme="majorBidi" w:hAnsiTheme="majorBidi" w:cstheme="majorBidi"/>
          <w:sz w:val="28"/>
          <w:szCs w:val="28"/>
        </w:rPr>
        <w:t xml:space="preserve"> </w:t>
      </w:r>
      <w:r w:rsidR="00B4416D">
        <w:rPr>
          <w:rFonts w:asciiTheme="majorBidi" w:hAnsiTheme="majorBidi" w:cstheme="majorBidi"/>
          <w:sz w:val="28"/>
          <w:szCs w:val="28"/>
        </w:rPr>
        <w:t xml:space="preserve">In </w:t>
      </w:r>
      <w:r w:rsidR="00016967">
        <w:rPr>
          <w:rFonts w:asciiTheme="majorBidi" w:hAnsiTheme="majorBidi" w:cstheme="majorBidi"/>
          <w:sz w:val="28"/>
          <w:szCs w:val="28"/>
        </w:rPr>
        <w:t xml:space="preserve">retrospective study with </w:t>
      </w:r>
      <w:r w:rsidR="00E50DE9">
        <w:rPr>
          <w:rFonts w:asciiTheme="majorBidi" w:hAnsiTheme="majorBidi" w:cstheme="majorBidi"/>
          <w:sz w:val="28"/>
          <w:szCs w:val="28"/>
        </w:rPr>
        <w:t>6-month follow-up</w:t>
      </w:r>
      <w:r w:rsidR="00B4416D">
        <w:rPr>
          <w:rFonts w:asciiTheme="majorBidi" w:hAnsiTheme="majorBidi" w:cstheme="majorBidi"/>
          <w:sz w:val="28"/>
          <w:szCs w:val="28"/>
        </w:rPr>
        <w:t xml:space="preserve"> </w:t>
      </w:r>
      <w:r w:rsidR="00E50DE9">
        <w:rPr>
          <w:rFonts w:asciiTheme="majorBidi" w:hAnsiTheme="majorBidi" w:cstheme="majorBidi"/>
          <w:sz w:val="28"/>
          <w:szCs w:val="28"/>
        </w:rPr>
        <w:t>using</w:t>
      </w:r>
      <w:r w:rsidR="0081755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17558">
        <w:rPr>
          <w:rFonts w:asciiTheme="majorBidi" w:hAnsiTheme="majorBidi" w:cstheme="majorBidi"/>
          <w:sz w:val="28"/>
          <w:szCs w:val="28"/>
        </w:rPr>
        <w:t>K</w:t>
      </w:r>
      <w:r w:rsidR="00915F35">
        <w:rPr>
          <w:rFonts w:asciiTheme="majorBidi" w:hAnsiTheme="majorBidi" w:cstheme="majorBidi"/>
          <w:sz w:val="28"/>
          <w:szCs w:val="28"/>
        </w:rPr>
        <w:t>ahook</w:t>
      </w:r>
      <w:proofErr w:type="spellEnd"/>
      <w:r w:rsidR="00915F35">
        <w:rPr>
          <w:rFonts w:asciiTheme="majorBidi" w:hAnsiTheme="majorBidi" w:cstheme="majorBidi"/>
          <w:sz w:val="28"/>
          <w:szCs w:val="28"/>
        </w:rPr>
        <w:t xml:space="preserve"> </w:t>
      </w:r>
      <w:r w:rsidR="00817558">
        <w:rPr>
          <w:rFonts w:asciiTheme="majorBidi" w:hAnsiTheme="majorBidi" w:cstheme="majorBidi"/>
          <w:sz w:val="28"/>
          <w:szCs w:val="28"/>
        </w:rPr>
        <w:t>D</w:t>
      </w:r>
      <w:r w:rsidR="00915F35">
        <w:rPr>
          <w:rFonts w:asciiTheme="majorBidi" w:hAnsiTheme="majorBidi" w:cstheme="majorBidi"/>
          <w:sz w:val="28"/>
          <w:szCs w:val="28"/>
        </w:rPr>
        <w:t xml:space="preserve">ual </w:t>
      </w:r>
      <w:r w:rsidR="00817558">
        <w:rPr>
          <w:rFonts w:asciiTheme="majorBidi" w:hAnsiTheme="majorBidi" w:cstheme="majorBidi"/>
          <w:sz w:val="28"/>
          <w:szCs w:val="28"/>
        </w:rPr>
        <w:t>B</w:t>
      </w:r>
      <w:r w:rsidR="00915F35">
        <w:rPr>
          <w:rFonts w:asciiTheme="majorBidi" w:hAnsiTheme="majorBidi" w:cstheme="majorBidi"/>
          <w:sz w:val="28"/>
          <w:szCs w:val="28"/>
        </w:rPr>
        <w:t>lade</w:t>
      </w:r>
      <w:r w:rsidR="00817558">
        <w:rPr>
          <w:rFonts w:asciiTheme="majorBidi" w:hAnsiTheme="majorBidi" w:cstheme="majorBidi"/>
          <w:sz w:val="28"/>
          <w:szCs w:val="28"/>
        </w:rPr>
        <w:t xml:space="preserve"> goniotomy in </w:t>
      </w:r>
      <w:r w:rsidR="00E50DE9">
        <w:rPr>
          <w:rFonts w:asciiTheme="majorBidi" w:hAnsiTheme="majorBidi" w:cstheme="majorBidi"/>
          <w:sz w:val="28"/>
          <w:szCs w:val="28"/>
        </w:rPr>
        <w:t xml:space="preserve">the ethnic group of </w:t>
      </w:r>
      <w:r w:rsidR="00817558">
        <w:rPr>
          <w:rFonts w:asciiTheme="majorBidi" w:hAnsiTheme="majorBidi" w:cstheme="majorBidi"/>
          <w:sz w:val="28"/>
          <w:szCs w:val="28"/>
        </w:rPr>
        <w:t>Afro-Latinx</w:t>
      </w:r>
      <w:r w:rsidR="00016967">
        <w:rPr>
          <w:rFonts w:asciiTheme="majorBidi" w:hAnsiTheme="majorBidi" w:cstheme="majorBidi"/>
          <w:sz w:val="28"/>
          <w:szCs w:val="28"/>
        </w:rPr>
        <w:t xml:space="preserve"> and Black</w:t>
      </w:r>
      <w:r w:rsidR="00817558">
        <w:rPr>
          <w:rFonts w:asciiTheme="majorBidi" w:hAnsiTheme="majorBidi" w:cstheme="majorBidi"/>
          <w:sz w:val="28"/>
          <w:szCs w:val="28"/>
        </w:rPr>
        <w:t xml:space="preserve"> POAG patients</w:t>
      </w:r>
      <w:r w:rsidR="00B4416D">
        <w:rPr>
          <w:rFonts w:asciiTheme="majorBidi" w:hAnsiTheme="majorBidi" w:cstheme="majorBidi"/>
          <w:sz w:val="28"/>
          <w:szCs w:val="28"/>
        </w:rPr>
        <w:t>, researchers</w:t>
      </w:r>
      <w:r w:rsidR="00817558">
        <w:rPr>
          <w:rFonts w:asciiTheme="majorBidi" w:hAnsiTheme="majorBidi" w:cstheme="majorBidi"/>
          <w:sz w:val="28"/>
          <w:szCs w:val="28"/>
        </w:rPr>
        <w:t xml:space="preserve"> </w:t>
      </w:r>
      <w:r w:rsidR="00E50DE9">
        <w:rPr>
          <w:rFonts w:asciiTheme="majorBidi" w:hAnsiTheme="majorBidi" w:cstheme="majorBidi"/>
          <w:sz w:val="28"/>
          <w:szCs w:val="28"/>
        </w:rPr>
        <w:t>stated a</w:t>
      </w:r>
      <w:r w:rsidR="00817558">
        <w:rPr>
          <w:rFonts w:asciiTheme="majorBidi" w:hAnsiTheme="majorBidi" w:cstheme="majorBidi"/>
          <w:sz w:val="28"/>
          <w:szCs w:val="28"/>
        </w:rPr>
        <w:t xml:space="preserve"> reduction </w:t>
      </w:r>
      <w:r w:rsidR="00E50DE9">
        <w:rPr>
          <w:rFonts w:asciiTheme="majorBidi" w:hAnsiTheme="majorBidi" w:cstheme="majorBidi"/>
          <w:sz w:val="28"/>
          <w:szCs w:val="28"/>
        </w:rPr>
        <w:t xml:space="preserve">of 16.6% </w:t>
      </w:r>
      <w:r w:rsidR="00817558">
        <w:rPr>
          <w:rFonts w:asciiTheme="majorBidi" w:hAnsiTheme="majorBidi" w:cstheme="majorBidi"/>
          <w:sz w:val="28"/>
          <w:szCs w:val="28"/>
        </w:rPr>
        <w:t xml:space="preserve">in </w:t>
      </w:r>
      <w:r w:rsidR="000A5562">
        <w:rPr>
          <w:rFonts w:asciiTheme="majorBidi" w:hAnsiTheme="majorBidi" w:cstheme="majorBidi"/>
          <w:sz w:val="28"/>
          <w:szCs w:val="28"/>
        </w:rPr>
        <w:t xml:space="preserve">the </w:t>
      </w:r>
      <w:r w:rsidR="00817558">
        <w:rPr>
          <w:rFonts w:asciiTheme="majorBidi" w:hAnsiTheme="majorBidi" w:cstheme="majorBidi"/>
          <w:sz w:val="28"/>
          <w:szCs w:val="28"/>
        </w:rPr>
        <w:t xml:space="preserve">IOP when </w:t>
      </w:r>
      <w:r w:rsidR="00E50DE9">
        <w:rPr>
          <w:rFonts w:asciiTheme="majorBidi" w:hAnsiTheme="majorBidi" w:cstheme="majorBidi"/>
          <w:sz w:val="28"/>
          <w:szCs w:val="28"/>
        </w:rPr>
        <w:t>done</w:t>
      </w:r>
      <w:r w:rsidR="00817558">
        <w:rPr>
          <w:rFonts w:asciiTheme="majorBidi" w:hAnsiTheme="majorBidi" w:cstheme="majorBidi"/>
          <w:sz w:val="28"/>
          <w:szCs w:val="28"/>
        </w:rPr>
        <w:t xml:space="preserve"> with </w:t>
      </w:r>
      <w:proofErr w:type="spellStart"/>
      <w:r w:rsidR="00817558">
        <w:rPr>
          <w:rFonts w:asciiTheme="majorBidi" w:hAnsiTheme="majorBidi" w:cstheme="majorBidi"/>
          <w:sz w:val="28"/>
          <w:szCs w:val="28"/>
        </w:rPr>
        <w:t>phaco</w:t>
      </w:r>
      <w:proofErr w:type="spellEnd"/>
      <w:r w:rsidR="00915F35">
        <w:rPr>
          <w:rFonts w:asciiTheme="majorBidi" w:hAnsiTheme="majorBidi" w:cstheme="majorBidi"/>
          <w:sz w:val="28"/>
          <w:szCs w:val="28"/>
        </w:rPr>
        <w:t xml:space="preserve"> surgery</w:t>
      </w:r>
      <w:r w:rsidR="00817558">
        <w:rPr>
          <w:rFonts w:asciiTheme="majorBidi" w:hAnsiTheme="majorBidi" w:cstheme="majorBidi"/>
          <w:sz w:val="28"/>
          <w:szCs w:val="28"/>
        </w:rPr>
        <w:t>.</w:t>
      </w:r>
      <w:r w:rsidR="00D16E70">
        <w:rPr>
          <w:rFonts w:asciiTheme="majorBidi" w:hAnsiTheme="majorBidi" w:cstheme="majorBidi"/>
          <w:sz w:val="28"/>
          <w:szCs w:val="28"/>
        </w:rPr>
        <w:t xml:space="preserve"> </w:t>
      </w:r>
      <w:r w:rsidR="000A5562">
        <w:rPr>
          <w:rFonts w:asciiTheme="majorBidi" w:hAnsiTheme="majorBidi" w:cstheme="majorBidi"/>
          <w:sz w:val="28"/>
          <w:szCs w:val="28"/>
        </w:rPr>
        <w:t xml:space="preserve">The </w:t>
      </w:r>
      <w:r w:rsidR="00817558">
        <w:rPr>
          <w:rFonts w:asciiTheme="majorBidi" w:hAnsiTheme="majorBidi" w:cstheme="majorBidi"/>
          <w:sz w:val="28"/>
          <w:szCs w:val="28"/>
        </w:rPr>
        <w:t xml:space="preserve">IOP lowering </w:t>
      </w:r>
      <w:r w:rsidR="00E50DE9">
        <w:rPr>
          <w:rFonts w:asciiTheme="majorBidi" w:hAnsiTheme="majorBidi" w:cstheme="majorBidi"/>
          <w:sz w:val="28"/>
          <w:szCs w:val="28"/>
        </w:rPr>
        <w:t>medications</w:t>
      </w:r>
      <w:r w:rsidR="00817558">
        <w:rPr>
          <w:rFonts w:asciiTheme="majorBidi" w:hAnsiTheme="majorBidi" w:cstheme="majorBidi"/>
          <w:sz w:val="28"/>
          <w:szCs w:val="28"/>
        </w:rPr>
        <w:t xml:space="preserve"> </w:t>
      </w:r>
      <w:r w:rsidR="00E50DE9">
        <w:rPr>
          <w:rFonts w:asciiTheme="majorBidi" w:hAnsiTheme="majorBidi" w:cstheme="majorBidi"/>
          <w:sz w:val="28"/>
          <w:szCs w:val="28"/>
        </w:rPr>
        <w:t>plunged</w:t>
      </w:r>
      <w:r w:rsidR="00817558">
        <w:rPr>
          <w:rFonts w:asciiTheme="majorBidi" w:hAnsiTheme="majorBidi" w:cstheme="majorBidi"/>
          <w:sz w:val="28"/>
          <w:szCs w:val="28"/>
        </w:rPr>
        <w:t xml:space="preserve"> by 48%</w:t>
      </w:r>
      <w:r w:rsidR="00971567" w:rsidRPr="00FA7596">
        <w:rPr>
          <w:rFonts w:asciiTheme="majorBidi" w:hAnsiTheme="majorBidi" w:cstheme="majorBidi"/>
          <w:sz w:val="28"/>
          <w:szCs w:val="28"/>
        </w:rPr>
        <w:t>.</w:t>
      </w:r>
      <w:r w:rsidR="00D16E70">
        <w:rPr>
          <w:rFonts w:asciiTheme="majorBidi" w:hAnsiTheme="majorBidi" w:cstheme="majorBidi"/>
          <w:sz w:val="28"/>
          <w:szCs w:val="28"/>
        </w:rPr>
        <w:t xml:space="preserve"> </w:t>
      </w:r>
      <w:r w:rsidR="00817558">
        <w:rPr>
          <w:rFonts w:asciiTheme="majorBidi" w:hAnsiTheme="majorBidi" w:cstheme="majorBidi"/>
          <w:sz w:val="28"/>
          <w:szCs w:val="28"/>
          <w:vertAlign w:val="superscript"/>
        </w:rPr>
        <w:t>18</w:t>
      </w:r>
      <w:r w:rsidR="00971567" w:rsidRPr="00FA7596">
        <w:rPr>
          <w:rFonts w:asciiTheme="majorBidi" w:hAnsiTheme="majorBidi" w:cstheme="majorBidi"/>
          <w:sz w:val="28"/>
          <w:szCs w:val="28"/>
        </w:rPr>
        <w:t xml:space="preserve"> </w:t>
      </w:r>
      <w:r w:rsidR="00F70108">
        <w:rPr>
          <w:rFonts w:asciiTheme="majorBidi" w:hAnsiTheme="majorBidi" w:cstheme="majorBidi"/>
          <w:sz w:val="28"/>
          <w:szCs w:val="28"/>
        </w:rPr>
        <w:t>In</w:t>
      </w:r>
      <w:r w:rsidR="00E50DE9">
        <w:rPr>
          <w:rFonts w:asciiTheme="majorBidi" w:hAnsiTheme="majorBidi" w:cstheme="majorBidi"/>
          <w:sz w:val="28"/>
          <w:szCs w:val="28"/>
        </w:rPr>
        <w:t xml:space="preserve"> their</w:t>
      </w:r>
      <w:r w:rsidR="00971567" w:rsidRPr="00FA7596">
        <w:rPr>
          <w:rFonts w:asciiTheme="majorBidi" w:hAnsiTheme="majorBidi" w:cstheme="majorBidi"/>
          <w:sz w:val="28"/>
          <w:szCs w:val="28"/>
        </w:rPr>
        <w:t xml:space="preserve"> interventional </w:t>
      </w:r>
      <w:r w:rsidR="00016967">
        <w:rPr>
          <w:rFonts w:asciiTheme="majorBidi" w:hAnsiTheme="majorBidi" w:cstheme="majorBidi"/>
          <w:sz w:val="28"/>
          <w:szCs w:val="28"/>
        </w:rPr>
        <w:t xml:space="preserve">prospective </w:t>
      </w:r>
      <w:r w:rsidR="00971567" w:rsidRPr="00FA7596">
        <w:rPr>
          <w:rFonts w:asciiTheme="majorBidi" w:hAnsiTheme="majorBidi" w:cstheme="majorBidi"/>
          <w:sz w:val="28"/>
          <w:szCs w:val="28"/>
        </w:rPr>
        <w:t>case series (n=71)</w:t>
      </w:r>
      <w:r w:rsidR="00F70108">
        <w:rPr>
          <w:rFonts w:asciiTheme="majorBidi" w:hAnsiTheme="majorBidi" w:cstheme="majorBidi"/>
          <w:sz w:val="28"/>
          <w:szCs w:val="28"/>
        </w:rPr>
        <w:t xml:space="preserve">, Greenwood et al </w:t>
      </w:r>
      <w:r w:rsidR="00F70108">
        <w:rPr>
          <w:rFonts w:asciiTheme="majorBidi" w:hAnsiTheme="majorBidi" w:cstheme="majorBidi"/>
          <w:sz w:val="28"/>
          <w:szCs w:val="28"/>
          <w:vertAlign w:val="superscript"/>
        </w:rPr>
        <w:t>19</w:t>
      </w:r>
      <w:r w:rsidR="00E50DE9">
        <w:rPr>
          <w:rFonts w:asciiTheme="majorBidi" w:hAnsiTheme="majorBidi" w:cstheme="majorBidi"/>
          <w:sz w:val="28"/>
          <w:szCs w:val="28"/>
        </w:rPr>
        <w:t xml:space="preserve"> </w:t>
      </w:r>
      <w:r w:rsidR="000A5562">
        <w:rPr>
          <w:rFonts w:asciiTheme="majorBidi" w:hAnsiTheme="majorBidi" w:cstheme="majorBidi"/>
          <w:sz w:val="28"/>
          <w:szCs w:val="28"/>
        </w:rPr>
        <w:t>claimed</w:t>
      </w:r>
      <w:r w:rsidR="00971567" w:rsidRPr="00FA7596">
        <w:rPr>
          <w:rFonts w:asciiTheme="majorBidi" w:hAnsiTheme="majorBidi" w:cstheme="majorBidi"/>
          <w:sz w:val="28"/>
          <w:szCs w:val="28"/>
        </w:rPr>
        <w:t xml:space="preserve"> </w:t>
      </w:r>
      <w:r w:rsidR="007A3286">
        <w:rPr>
          <w:rFonts w:asciiTheme="majorBidi" w:hAnsiTheme="majorBidi" w:cstheme="majorBidi"/>
          <w:sz w:val="28"/>
          <w:szCs w:val="28"/>
        </w:rPr>
        <w:t>a</w:t>
      </w:r>
      <w:r w:rsidR="00971567" w:rsidRPr="00FA7596">
        <w:rPr>
          <w:rFonts w:asciiTheme="majorBidi" w:hAnsiTheme="majorBidi" w:cstheme="majorBidi"/>
          <w:sz w:val="28"/>
          <w:szCs w:val="28"/>
        </w:rPr>
        <w:t xml:space="preserve"> </w:t>
      </w:r>
      <w:r w:rsidR="00E50DE9">
        <w:rPr>
          <w:rFonts w:asciiTheme="majorBidi" w:hAnsiTheme="majorBidi" w:cstheme="majorBidi"/>
          <w:sz w:val="28"/>
          <w:szCs w:val="28"/>
        </w:rPr>
        <w:t xml:space="preserve">4.6 mmHg </w:t>
      </w:r>
      <w:r w:rsidR="00971567" w:rsidRPr="00FA7596">
        <w:rPr>
          <w:rFonts w:asciiTheme="majorBidi" w:hAnsiTheme="majorBidi" w:cstheme="majorBidi"/>
          <w:sz w:val="28"/>
          <w:szCs w:val="28"/>
        </w:rPr>
        <w:t xml:space="preserve">mean reduction </w:t>
      </w:r>
      <w:r w:rsidR="00E50DE9">
        <w:rPr>
          <w:rFonts w:asciiTheme="majorBidi" w:hAnsiTheme="majorBidi" w:cstheme="majorBidi"/>
          <w:sz w:val="28"/>
          <w:szCs w:val="28"/>
        </w:rPr>
        <w:t>in</w:t>
      </w:r>
      <w:r w:rsidR="00971567" w:rsidRPr="00FA7596">
        <w:rPr>
          <w:rFonts w:asciiTheme="majorBidi" w:hAnsiTheme="majorBidi" w:cstheme="majorBidi"/>
          <w:sz w:val="28"/>
          <w:szCs w:val="28"/>
        </w:rPr>
        <w:t xml:space="preserve"> </w:t>
      </w:r>
      <w:r w:rsidR="000A5562">
        <w:rPr>
          <w:rFonts w:asciiTheme="majorBidi" w:hAnsiTheme="majorBidi" w:cstheme="majorBidi"/>
          <w:sz w:val="28"/>
          <w:szCs w:val="28"/>
        </w:rPr>
        <w:t xml:space="preserve">the </w:t>
      </w:r>
      <w:r w:rsidR="00971567" w:rsidRPr="00FA7596">
        <w:rPr>
          <w:rFonts w:asciiTheme="majorBidi" w:hAnsiTheme="majorBidi" w:cstheme="majorBidi"/>
          <w:sz w:val="28"/>
          <w:szCs w:val="28"/>
        </w:rPr>
        <w:t xml:space="preserve">IOP and </w:t>
      </w:r>
      <w:r w:rsidR="009A6D88">
        <w:rPr>
          <w:rFonts w:asciiTheme="majorBidi" w:hAnsiTheme="majorBidi" w:cstheme="majorBidi"/>
          <w:sz w:val="28"/>
          <w:szCs w:val="28"/>
        </w:rPr>
        <w:t>a</w:t>
      </w:r>
      <w:r w:rsidR="00E50DE9">
        <w:rPr>
          <w:rFonts w:asciiTheme="majorBidi" w:hAnsiTheme="majorBidi" w:cstheme="majorBidi"/>
          <w:sz w:val="28"/>
          <w:szCs w:val="28"/>
        </w:rPr>
        <w:t>n 0.7</w:t>
      </w:r>
      <w:r w:rsidR="00971567" w:rsidRPr="00FA7596">
        <w:rPr>
          <w:rFonts w:asciiTheme="majorBidi" w:hAnsiTheme="majorBidi" w:cstheme="majorBidi"/>
          <w:sz w:val="28"/>
          <w:szCs w:val="28"/>
        </w:rPr>
        <w:t xml:space="preserve"> mean decrease in </w:t>
      </w:r>
      <w:r w:rsidR="000A5562">
        <w:rPr>
          <w:rFonts w:asciiTheme="majorBidi" w:hAnsiTheme="majorBidi" w:cstheme="majorBidi"/>
          <w:sz w:val="28"/>
          <w:szCs w:val="28"/>
        </w:rPr>
        <w:t xml:space="preserve">IOP-lowering </w:t>
      </w:r>
      <w:r w:rsidR="00F70108">
        <w:rPr>
          <w:rFonts w:asciiTheme="majorBidi" w:hAnsiTheme="majorBidi" w:cstheme="majorBidi"/>
          <w:sz w:val="28"/>
          <w:szCs w:val="28"/>
        </w:rPr>
        <w:t>drops</w:t>
      </w:r>
      <w:r w:rsidR="00971567" w:rsidRPr="00FA7596">
        <w:rPr>
          <w:rFonts w:asciiTheme="majorBidi" w:hAnsiTheme="majorBidi" w:cstheme="majorBidi"/>
          <w:sz w:val="28"/>
          <w:szCs w:val="28"/>
        </w:rPr>
        <w:t>.</w:t>
      </w:r>
      <w:r w:rsidR="00D16E70">
        <w:rPr>
          <w:rFonts w:asciiTheme="majorBidi" w:hAnsiTheme="majorBidi" w:cstheme="majorBidi"/>
          <w:sz w:val="28"/>
          <w:szCs w:val="28"/>
        </w:rPr>
        <w:t xml:space="preserve"> </w:t>
      </w:r>
      <w:r w:rsidR="00E50DE9">
        <w:rPr>
          <w:rFonts w:asciiTheme="majorBidi" w:hAnsiTheme="majorBidi" w:cstheme="majorBidi"/>
          <w:sz w:val="28"/>
          <w:szCs w:val="28"/>
        </w:rPr>
        <w:t>Furthermore</w:t>
      </w:r>
      <w:r w:rsidR="00971567" w:rsidRPr="00FA7596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971567" w:rsidRPr="00FA7596">
        <w:rPr>
          <w:rFonts w:asciiTheme="majorBidi" w:hAnsiTheme="majorBidi" w:cstheme="majorBidi"/>
          <w:sz w:val="28"/>
          <w:szCs w:val="28"/>
        </w:rPr>
        <w:t>Hirabayashi</w:t>
      </w:r>
      <w:proofErr w:type="spellEnd"/>
      <w:r w:rsidR="00971567" w:rsidRPr="00FA7596">
        <w:rPr>
          <w:rFonts w:asciiTheme="majorBidi" w:hAnsiTheme="majorBidi" w:cstheme="majorBidi"/>
          <w:sz w:val="28"/>
          <w:szCs w:val="28"/>
        </w:rPr>
        <w:t xml:space="preserve"> et al. </w:t>
      </w:r>
      <w:r w:rsidR="0043592F">
        <w:rPr>
          <w:rFonts w:asciiTheme="majorBidi" w:hAnsiTheme="majorBidi" w:cstheme="majorBidi"/>
          <w:sz w:val="28"/>
          <w:szCs w:val="28"/>
          <w:vertAlign w:val="superscript"/>
        </w:rPr>
        <w:t>20</w:t>
      </w:r>
      <w:r w:rsidR="000A5562">
        <w:rPr>
          <w:rFonts w:asciiTheme="majorBidi" w:hAnsiTheme="majorBidi" w:cstheme="majorBidi"/>
          <w:sz w:val="28"/>
          <w:szCs w:val="28"/>
        </w:rPr>
        <w:t xml:space="preserve">, </w:t>
      </w:r>
      <w:r w:rsidR="00E50DE9">
        <w:rPr>
          <w:rFonts w:asciiTheme="majorBidi" w:hAnsiTheme="majorBidi" w:cstheme="majorBidi"/>
          <w:sz w:val="28"/>
          <w:szCs w:val="28"/>
        </w:rPr>
        <w:t>conducted</w:t>
      </w:r>
      <w:r w:rsidR="000A5562">
        <w:rPr>
          <w:rFonts w:asciiTheme="majorBidi" w:hAnsiTheme="majorBidi" w:cstheme="majorBidi"/>
          <w:sz w:val="28"/>
          <w:szCs w:val="28"/>
        </w:rPr>
        <w:t xml:space="preserve"> </w:t>
      </w:r>
      <w:r w:rsidR="00E50DE9">
        <w:rPr>
          <w:rFonts w:asciiTheme="majorBidi" w:hAnsiTheme="majorBidi" w:cstheme="majorBidi"/>
          <w:sz w:val="28"/>
          <w:szCs w:val="28"/>
        </w:rPr>
        <w:t>a</w:t>
      </w:r>
      <w:r w:rsidR="000A5562">
        <w:rPr>
          <w:rFonts w:asciiTheme="majorBidi" w:hAnsiTheme="majorBidi" w:cstheme="majorBidi"/>
          <w:sz w:val="28"/>
          <w:szCs w:val="28"/>
        </w:rPr>
        <w:t xml:space="preserve"> retrospective study, </w:t>
      </w:r>
      <w:r w:rsidR="00E50DE9">
        <w:rPr>
          <w:rFonts w:asciiTheme="majorBidi" w:hAnsiTheme="majorBidi" w:cstheme="majorBidi"/>
          <w:sz w:val="28"/>
          <w:szCs w:val="28"/>
        </w:rPr>
        <w:t xml:space="preserve">and </w:t>
      </w:r>
      <w:r w:rsidR="00971567" w:rsidRPr="00FA7596">
        <w:rPr>
          <w:rFonts w:asciiTheme="majorBidi" w:hAnsiTheme="majorBidi" w:cstheme="majorBidi"/>
          <w:sz w:val="28"/>
          <w:szCs w:val="28"/>
        </w:rPr>
        <w:t xml:space="preserve">reported </w:t>
      </w:r>
      <w:r w:rsidR="00E50DE9">
        <w:rPr>
          <w:rFonts w:asciiTheme="majorBidi" w:hAnsiTheme="majorBidi" w:cstheme="majorBidi"/>
          <w:sz w:val="28"/>
          <w:szCs w:val="28"/>
        </w:rPr>
        <w:t>1.2 mmHg</w:t>
      </w:r>
      <w:r w:rsidR="00971567" w:rsidRPr="00FA7596">
        <w:rPr>
          <w:rFonts w:asciiTheme="majorBidi" w:hAnsiTheme="majorBidi" w:cstheme="majorBidi"/>
          <w:sz w:val="28"/>
          <w:szCs w:val="28"/>
        </w:rPr>
        <w:t xml:space="preserve"> </w:t>
      </w:r>
      <w:r w:rsidR="00E50DE9">
        <w:rPr>
          <w:rFonts w:asciiTheme="majorBidi" w:hAnsiTheme="majorBidi" w:cstheme="majorBidi"/>
          <w:sz w:val="28"/>
          <w:szCs w:val="28"/>
        </w:rPr>
        <w:t>IOP</w:t>
      </w:r>
      <w:r w:rsidR="00971567" w:rsidRPr="00FA7596">
        <w:rPr>
          <w:rFonts w:asciiTheme="majorBidi" w:hAnsiTheme="majorBidi" w:cstheme="majorBidi"/>
          <w:sz w:val="28"/>
          <w:szCs w:val="28"/>
        </w:rPr>
        <w:t xml:space="preserve"> </w:t>
      </w:r>
      <w:r w:rsidR="00941EB0">
        <w:rPr>
          <w:rFonts w:asciiTheme="majorBidi" w:hAnsiTheme="majorBidi" w:cstheme="majorBidi"/>
          <w:sz w:val="28"/>
          <w:szCs w:val="28"/>
        </w:rPr>
        <w:t xml:space="preserve">reduction </w:t>
      </w:r>
      <w:r w:rsidR="00971567" w:rsidRPr="00FA7596">
        <w:rPr>
          <w:rFonts w:asciiTheme="majorBidi" w:hAnsiTheme="majorBidi" w:cstheme="majorBidi"/>
          <w:sz w:val="28"/>
          <w:szCs w:val="28"/>
        </w:rPr>
        <w:t xml:space="preserve">and </w:t>
      </w:r>
      <w:r w:rsidR="00E50DE9">
        <w:rPr>
          <w:rFonts w:asciiTheme="majorBidi" w:hAnsiTheme="majorBidi" w:cstheme="majorBidi"/>
          <w:sz w:val="28"/>
          <w:szCs w:val="28"/>
        </w:rPr>
        <w:t>2.1</w:t>
      </w:r>
      <w:r w:rsidR="00971567" w:rsidRPr="00FA7596">
        <w:rPr>
          <w:rFonts w:asciiTheme="majorBidi" w:hAnsiTheme="majorBidi" w:cstheme="majorBidi"/>
          <w:sz w:val="28"/>
          <w:szCs w:val="28"/>
        </w:rPr>
        <w:t xml:space="preserve"> reduction </w:t>
      </w:r>
      <w:r w:rsidR="00E50DE9">
        <w:rPr>
          <w:rFonts w:asciiTheme="majorBidi" w:hAnsiTheme="majorBidi" w:cstheme="majorBidi"/>
          <w:sz w:val="28"/>
          <w:szCs w:val="28"/>
        </w:rPr>
        <w:t>in the</w:t>
      </w:r>
      <w:r w:rsidR="00971567" w:rsidRPr="00FA7596">
        <w:rPr>
          <w:rFonts w:asciiTheme="majorBidi" w:hAnsiTheme="majorBidi" w:cstheme="majorBidi"/>
          <w:sz w:val="28"/>
          <w:szCs w:val="28"/>
        </w:rPr>
        <w:t xml:space="preserve"> </w:t>
      </w:r>
      <w:r w:rsidR="000A5562">
        <w:rPr>
          <w:rFonts w:asciiTheme="majorBidi" w:hAnsiTheme="majorBidi" w:cstheme="majorBidi"/>
          <w:sz w:val="28"/>
          <w:szCs w:val="28"/>
        </w:rPr>
        <w:t xml:space="preserve">IOP-lowering </w:t>
      </w:r>
      <w:r w:rsidR="00E50DE9">
        <w:rPr>
          <w:rFonts w:asciiTheme="majorBidi" w:hAnsiTheme="majorBidi" w:cstheme="majorBidi"/>
          <w:sz w:val="28"/>
          <w:szCs w:val="28"/>
        </w:rPr>
        <w:t>medications</w:t>
      </w:r>
      <w:r w:rsidR="00971567" w:rsidRPr="00FA7596">
        <w:rPr>
          <w:rFonts w:asciiTheme="majorBidi" w:hAnsiTheme="majorBidi" w:cstheme="majorBidi"/>
          <w:sz w:val="28"/>
          <w:szCs w:val="28"/>
        </w:rPr>
        <w:t xml:space="preserve"> (n=42).</w:t>
      </w:r>
      <w:r w:rsidR="00D16E70">
        <w:rPr>
          <w:rFonts w:asciiTheme="majorBidi" w:hAnsiTheme="majorBidi" w:cstheme="majorBidi"/>
          <w:sz w:val="28"/>
          <w:szCs w:val="28"/>
        </w:rPr>
        <w:t xml:space="preserve"> </w:t>
      </w:r>
      <w:r w:rsidR="00CF4F7E">
        <w:rPr>
          <w:rFonts w:asciiTheme="majorBidi" w:hAnsiTheme="majorBidi" w:cstheme="majorBidi"/>
          <w:sz w:val="28"/>
          <w:szCs w:val="28"/>
        </w:rPr>
        <w:t xml:space="preserve">In </w:t>
      </w:r>
      <w:r w:rsidR="00E50DE9">
        <w:rPr>
          <w:rFonts w:asciiTheme="majorBidi" w:hAnsiTheme="majorBidi" w:cstheme="majorBidi"/>
          <w:sz w:val="28"/>
          <w:szCs w:val="28"/>
        </w:rPr>
        <w:t>the current</w:t>
      </w:r>
      <w:r w:rsidR="00CF4F7E">
        <w:rPr>
          <w:rFonts w:asciiTheme="majorBidi" w:hAnsiTheme="majorBidi" w:cstheme="majorBidi"/>
          <w:sz w:val="28"/>
          <w:szCs w:val="28"/>
        </w:rPr>
        <w:t xml:space="preserve"> </w:t>
      </w:r>
      <w:r w:rsidR="000A5562">
        <w:rPr>
          <w:rFonts w:asciiTheme="majorBidi" w:hAnsiTheme="majorBidi" w:cstheme="majorBidi"/>
          <w:sz w:val="28"/>
          <w:szCs w:val="28"/>
        </w:rPr>
        <w:t>study</w:t>
      </w:r>
      <w:r w:rsidR="00CF4F7E">
        <w:rPr>
          <w:rFonts w:asciiTheme="majorBidi" w:hAnsiTheme="majorBidi" w:cstheme="majorBidi"/>
          <w:sz w:val="28"/>
          <w:szCs w:val="28"/>
        </w:rPr>
        <w:t xml:space="preserve">, </w:t>
      </w:r>
      <w:r w:rsidR="000A5562">
        <w:rPr>
          <w:rFonts w:asciiTheme="majorBidi" w:hAnsiTheme="majorBidi" w:cstheme="majorBidi"/>
          <w:sz w:val="28"/>
          <w:szCs w:val="28"/>
        </w:rPr>
        <w:t xml:space="preserve">combined </w:t>
      </w:r>
      <w:r w:rsidR="00CF4F7E">
        <w:rPr>
          <w:rFonts w:asciiTheme="majorBidi" w:hAnsiTheme="majorBidi" w:cstheme="majorBidi"/>
          <w:sz w:val="28"/>
          <w:szCs w:val="28"/>
        </w:rPr>
        <w:t>phaco</w:t>
      </w:r>
      <w:r w:rsidR="00E50DE9">
        <w:rPr>
          <w:rFonts w:asciiTheme="majorBidi" w:hAnsiTheme="majorBidi" w:cstheme="majorBidi"/>
          <w:sz w:val="28"/>
          <w:szCs w:val="28"/>
        </w:rPr>
        <w:t>emulsification</w:t>
      </w:r>
      <w:r w:rsidR="000A5562">
        <w:rPr>
          <w:rFonts w:asciiTheme="majorBidi" w:hAnsiTheme="majorBidi" w:cstheme="majorBidi"/>
          <w:sz w:val="28"/>
          <w:szCs w:val="28"/>
        </w:rPr>
        <w:t>-</w:t>
      </w:r>
      <w:r w:rsidR="00CF4F7E">
        <w:rPr>
          <w:rFonts w:asciiTheme="majorBidi" w:hAnsiTheme="majorBidi" w:cstheme="majorBidi"/>
          <w:sz w:val="28"/>
          <w:szCs w:val="28"/>
        </w:rPr>
        <w:t xml:space="preserve">goniotomy </w:t>
      </w:r>
      <w:r w:rsidR="00E50DE9">
        <w:rPr>
          <w:rFonts w:asciiTheme="majorBidi" w:hAnsiTheme="majorBidi" w:cstheme="majorBidi"/>
          <w:sz w:val="28"/>
          <w:szCs w:val="28"/>
        </w:rPr>
        <w:t>succeded to achieve</w:t>
      </w:r>
      <w:r w:rsidR="00CF4F7E">
        <w:rPr>
          <w:rFonts w:asciiTheme="majorBidi" w:hAnsiTheme="majorBidi" w:cstheme="majorBidi"/>
          <w:sz w:val="28"/>
          <w:szCs w:val="28"/>
        </w:rPr>
        <w:t xml:space="preserve"> </w:t>
      </w:r>
      <w:r w:rsidR="009A6D88">
        <w:rPr>
          <w:rFonts w:asciiTheme="majorBidi" w:hAnsiTheme="majorBidi" w:cstheme="majorBidi"/>
          <w:sz w:val="28"/>
          <w:szCs w:val="28"/>
        </w:rPr>
        <w:t>more significant</w:t>
      </w:r>
      <w:r w:rsidR="00CF4F7E">
        <w:rPr>
          <w:rFonts w:asciiTheme="majorBidi" w:hAnsiTheme="majorBidi" w:cstheme="majorBidi"/>
          <w:sz w:val="28"/>
          <w:szCs w:val="28"/>
        </w:rPr>
        <w:t xml:space="preserve"> IOP </w:t>
      </w:r>
      <w:r w:rsidR="00E50DE9">
        <w:rPr>
          <w:rFonts w:asciiTheme="majorBidi" w:hAnsiTheme="majorBidi" w:cstheme="majorBidi"/>
          <w:sz w:val="28"/>
          <w:szCs w:val="28"/>
        </w:rPr>
        <w:t>drop</w:t>
      </w:r>
      <w:r w:rsidR="00CF4F7E">
        <w:rPr>
          <w:rFonts w:asciiTheme="majorBidi" w:hAnsiTheme="majorBidi" w:cstheme="majorBidi"/>
          <w:sz w:val="28"/>
          <w:szCs w:val="28"/>
        </w:rPr>
        <w:t xml:space="preserve"> </w:t>
      </w:r>
      <w:r w:rsidR="00CF4F7E">
        <w:rPr>
          <w:rFonts w:asciiTheme="majorBidi" w:hAnsiTheme="majorBidi" w:cstheme="majorBidi"/>
          <w:sz w:val="28"/>
          <w:szCs w:val="28"/>
        </w:rPr>
        <w:lastRenderedPageBreak/>
        <w:t xml:space="preserve">than the previously mentioned </w:t>
      </w:r>
      <w:r w:rsidR="00E50DE9">
        <w:rPr>
          <w:rFonts w:asciiTheme="majorBidi" w:hAnsiTheme="majorBidi" w:cstheme="majorBidi"/>
          <w:sz w:val="28"/>
          <w:szCs w:val="28"/>
        </w:rPr>
        <w:t>research</w:t>
      </w:r>
      <w:r w:rsidR="00CF4F7E">
        <w:rPr>
          <w:rFonts w:asciiTheme="majorBidi" w:hAnsiTheme="majorBidi" w:cstheme="majorBidi"/>
          <w:sz w:val="28"/>
          <w:szCs w:val="28"/>
        </w:rPr>
        <w:t>.</w:t>
      </w:r>
      <w:r w:rsidR="00D16E70">
        <w:rPr>
          <w:rFonts w:asciiTheme="majorBidi" w:hAnsiTheme="majorBidi" w:cstheme="majorBidi"/>
          <w:sz w:val="28"/>
          <w:szCs w:val="28"/>
        </w:rPr>
        <w:t xml:space="preserve"> </w:t>
      </w:r>
      <w:r w:rsidR="00016967">
        <w:rPr>
          <w:rFonts w:asciiTheme="majorBidi" w:hAnsiTheme="majorBidi" w:cstheme="majorBidi"/>
          <w:sz w:val="28"/>
          <w:szCs w:val="28"/>
        </w:rPr>
        <w:t>That</w:t>
      </w:r>
      <w:r w:rsidR="00CF4F7E">
        <w:rPr>
          <w:rFonts w:asciiTheme="majorBidi" w:hAnsiTheme="majorBidi" w:cstheme="majorBidi"/>
          <w:sz w:val="28"/>
          <w:szCs w:val="28"/>
        </w:rPr>
        <w:t xml:space="preserve"> </w:t>
      </w:r>
      <w:r w:rsidR="00E50DE9">
        <w:rPr>
          <w:rFonts w:asciiTheme="majorBidi" w:hAnsiTheme="majorBidi" w:cstheme="majorBidi"/>
          <w:sz w:val="28"/>
          <w:szCs w:val="28"/>
        </w:rPr>
        <w:t>difference</w:t>
      </w:r>
      <w:r w:rsidR="00CF4F7E">
        <w:rPr>
          <w:rFonts w:asciiTheme="majorBidi" w:hAnsiTheme="majorBidi" w:cstheme="majorBidi"/>
          <w:sz w:val="28"/>
          <w:szCs w:val="28"/>
        </w:rPr>
        <w:t xml:space="preserve"> could be </w:t>
      </w:r>
      <w:r w:rsidR="00E50DE9">
        <w:rPr>
          <w:rFonts w:asciiTheme="majorBidi" w:hAnsiTheme="majorBidi" w:cstheme="majorBidi"/>
          <w:sz w:val="28"/>
          <w:szCs w:val="28"/>
        </w:rPr>
        <w:t>clarified</w:t>
      </w:r>
      <w:r w:rsidR="009A6D88">
        <w:rPr>
          <w:rFonts w:asciiTheme="majorBidi" w:hAnsiTheme="majorBidi" w:cstheme="majorBidi"/>
          <w:sz w:val="28"/>
          <w:szCs w:val="28"/>
        </w:rPr>
        <w:t xml:space="preserve"> </w:t>
      </w:r>
      <w:r w:rsidR="00E50DE9">
        <w:rPr>
          <w:rFonts w:asciiTheme="majorBidi" w:hAnsiTheme="majorBidi" w:cstheme="majorBidi"/>
          <w:sz w:val="28"/>
          <w:szCs w:val="28"/>
        </w:rPr>
        <w:t>as</w:t>
      </w:r>
      <w:r w:rsidR="00CF4F7E">
        <w:rPr>
          <w:rFonts w:asciiTheme="majorBidi" w:hAnsiTheme="majorBidi" w:cstheme="majorBidi"/>
          <w:sz w:val="28"/>
          <w:szCs w:val="28"/>
        </w:rPr>
        <w:t xml:space="preserve"> we </w:t>
      </w:r>
      <w:r w:rsidR="00E50DE9">
        <w:rPr>
          <w:rFonts w:asciiTheme="majorBidi" w:hAnsiTheme="majorBidi" w:cstheme="majorBidi"/>
          <w:sz w:val="28"/>
          <w:szCs w:val="28"/>
        </w:rPr>
        <w:t>divided</w:t>
      </w:r>
      <w:r w:rsidR="00CF4F7E">
        <w:rPr>
          <w:rFonts w:asciiTheme="majorBidi" w:hAnsiTheme="majorBidi" w:cstheme="majorBidi"/>
          <w:sz w:val="28"/>
          <w:szCs w:val="28"/>
        </w:rPr>
        <w:t xml:space="preserve"> patients into moderate and severe </w:t>
      </w:r>
      <w:r w:rsidR="00E50DE9">
        <w:rPr>
          <w:rFonts w:asciiTheme="majorBidi" w:hAnsiTheme="majorBidi" w:cstheme="majorBidi"/>
          <w:sz w:val="28"/>
          <w:szCs w:val="28"/>
        </w:rPr>
        <w:t>glaucoma groups</w:t>
      </w:r>
      <w:r w:rsidR="009A6D88">
        <w:rPr>
          <w:rFonts w:asciiTheme="majorBidi" w:hAnsiTheme="majorBidi" w:cstheme="majorBidi"/>
          <w:sz w:val="28"/>
          <w:szCs w:val="28"/>
        </w:rPr>
        <w:t>,</w:t>
      </w:r>
      <w:r w:rsidR="00CF4F7E">
        <w:rPr>
          <w:rFonts w:asciiTheme="majorBidi" w:hAnsiTheme="majorBidi" w:cstheme="majorBidi"/>
          <w:sz w:val="28"/>
          <w:szCs w:val="28"/>
        </w:rPr>
        <w:t xml:space="preserve"> and </w:t>
      </w:r>
      <w:r w:rsidR="00E50DE9">
        <w:rPr>
          <w:rFonts w:asciiTheme="majorBidi" w:hAnsiTheme="majorBidi" w:cstheme="majorBidi"/>
          <w:sz w:val="28"/>
          <w:szCs w:val="28"/>
        </w:rPr>
        <w:t xml:space="preserve">we noticed </w:t>
      </w:r>
      <w:r w:rsidR="00CF4F7E">
        <w:rPr>
          <w:rFonts w:asciiTheme="majorBidi" w:hAnsiTheme="majorBidi" w:cstheme="majorBidi"/>
          <w:sz w:val="28"/>
          <w:szCs w:val="28"/>
        </w:rPr>
        <w:t xml:space="preserve">the </w:t>
      </w:r>
      <w:r w:rsidR="001C708B">
        <w:rPr>
          <w:rFonts w:asciiTheme="majorBidi" w:hAnsiTheme="majorBidi" w:cstheme="majorBidi"/>
          <w:sz w:val="28"/>
          <w:szCs w:val="28"/>
        </w:rPr>
        <w:t>more significant</w:t>
      </w:r>
      <w:r w:rsidR="00CF4F7E">
        <w:rPr>
          <w:rFonts w:asciiTheme="majorBidi" w:hAnsiTheme="majorBidi" w:cstheme="majorBidi"/>
          <w:sz w:val="28"/>
          <w:szCs w:val="28"/>
        </w:rPr>
        <w:t xml:space="preserve"> </w:t>
      </w:r>
      <w:r w:rsidR="00E34133">
        <w:rPr>
          <w:rFonts w:asciiTheme="majorBidi" w:hAnsiTheme="majorBidi" w:cstheme="majorBidi"/>
          <w:sz w:val="28"/>
          <w:szCs w:val="28"/>
        </w:rPr>
        <w:t xml:space="preserve">IOP </w:t>
      </w:r>
      <w:r w:rsidR="00E50DE9">
        <w:rPr>
          <w:rFonts w:asciiTheme="majorBidi" w:hAnsiTheme="majorBidi" w:cstheme="majorBidi"/>
          <w:sz w:val="28"/>
          <w:szCs w:val="28"/>
        </w:rPr>
        <w:t>drop</w:t>
      </w:r>
      <w:r w:rsidR="00CF4F7E">
        <w:rPr>
          <w:rFonts w:asciiTheme="majorBidi" w:hAnsiTheme="majorBidi" w:cstheme="majorBidi"/>
          <w:sz w:val="28"/>
          <w:szCs w:val="28"/>
        </w:rPr>
        <w:t xml:space="preserve"> in the moderate </w:t>
      </w:r>
      <w:r w:rsidR="003C1311">
        <w:rPr>
          <w:rFonts w:asciiTheme="majorBidi" w:hAnsiTheme="majorBidi" w:cstheme="majorBidi"/>
          <w:sz w:val="28"/>
          <w:szCs w:val="28"/>
        </w:rPr>
        <w:t>ones</w:t>
      </w:r>
      <w:r w:rsidR="00CF4F7E">
        <w:rPr>
          <w:rFonts w:asciiTheme="majorBidi" w:hAnsiTheme="majorBidi" w:cstheme="majorBidi"/>
          <w:sz w:val="28"/>
          <w:szCs w:val="28"/>
        </w:rPr>
        <w:t>.</w:t>
      </w:r>
      <w:r w:rsidR="00D16E70">
        <w:rPr>
          <w:rFonts w:asciiTheme="majorBidi" w:hAnsiTheme="majorBidi" w:cstheme="majorBidi"/>
          <w:sz w:val="28"/>
          <w:szCs w:val="28"/>
        </w:rPr>
        <w:t xml:space="preserve"> </w:t>
      </w:r>
      <w:r w:rsidR="001159E1">
        <w:rPr>
          <w:rFonts w:asciiTheme="majorBidi" w:hAnsiTheme="majorBidi" w:cstheme="majorBidi"/>
          <w:sz w:val="28"/>
          <w:szCs w:val="28"/>
        </w:rPr>
        <w:t>In addition, we</w:t>
      </w:r>
      <w:r w:rsidR="003278F8">
        <w:rPr>
          <w:rFonts w:asciiTheme="majorBidi" w:hAnsiTheme="majorBidi" w:cstheme="majorBidi"/>
          <w:sz w:val="28"/>
          <w:szCs w:val="28"/>
        </w:rPr>
        <w:t xml:space="preserve"> </w:t>
      </w:r>
      <w:r w:rsidR="009A6D88">
        <w:rPr>
          <w:rFonts w:asciiTheme="majorBidi" w:hAnsiTheme="majorBidi" w:cstheme="majorBidi"/>
          <w:sz w:val="28"/>
          <w:szCs w:val="28"/>
        </w:rPr>
        <w:t>followed up</w:t>
      </w:r>
      <w:r w:rsidR="003278F8">
        <w:rPr>
          <w:rFonts w:asciiTheme="majorBidi" w:hAnsiTheme="majorBidi" w:cstheme="majorBidi"/>
          <w:sz w:val="28"/>
          <w:szCs w:val="28"/>
        </w:rPr>
        <w:t xml:space="preserve"> </w:t>
      </w:r>
      <w:r w:rsidR="008E794A">
        <w:rPr>
          <w:rFonts w:asciiTheme="majorBidi" w:hAnsiTheme="majorBidi" w:cstheme="majorBidi"/>
          <w:sz w:val="28"/>
          <w:szCs w:val="28"/>
        </w:rPr>
        <w:t xml:space="preserve">with </w:t>
      </w:r>
      <w:r w:rsidR="00E50DE9">
        <w:rPr>
          <w:rFonts w:asciiTheme="majorBidi" w:hAnsiTheme="majorBidi" w:cstheme="majorBidi"/>
          <w:sz w:val="28"/>
          <w:szCs w:val="28"/>
        </w:rPr>
        <w:t xml:space="preserve">our </w:t>
      </w:r>
      <w:r w:rsidR="003278F8">
        <w:rPr>
          <w:rFonts w:asciiTheme="majorBidi" w:hAnsiTheme="majorBidi" w:cstheme="majorBidi"/>
          <w:sz w:val="28"/>
          <w:szCs w:val="28"/>
        </w:rPr>
        <w:t xml:space="preserve">patients </w:t>
      </w:r>
      <w:r w:rsidR="00E50DE9">
        <w:rPr>
          <w:rFonts w:asciiTheme="majorBidi" w:hAnsiTheme="majorBidi" w:cstheme="majorBidi"/>
          <w:sz w:val="28"/>
          <w:szCs w:val="28"/>
        </w:rPr>
        <w:t xml:space="preserve">for </w:t>
      </w:r>
      <w:r w:rsidR="00D708D4">
        <w:rPr>
          <w:rFonts w:asciiTheme="majorBidi" w:hAnsiTheme="majorBidi" w:cstheme="majorBidi"/>
          <w:sz w:val="28"/>
          <w:szCs w:val="28"/>
        </w:rPr>
        <w:t>a</w:t>
      </w:r>
      <w:r w:rsidR="00E34133">
        <w:rPr>
          <w:rFonts w:asciiTheme="majorBidi" w:hAnsiTheme="majorBidi" w:cstheme="majorBidi"/>
          <w:sz w:val="28"/>
          <w:szCs w:val="28"/>
        </w:rPr>
        <w:t xml:space="preserve"> </w:t>
      </w:r>
      <w:r w:rsidR="00C8461E">
        <w:rPr>
          <w:rFonts w:asciiTheme="majorBidi" w:hAnsiTheme="majorBidi" w:cstheme="majorBidi"/>
          <w:sz w:val="28"/>
          <w:szCs w:val="28"/>
        </w:rPr>
        <w:t>longer</w:t>
      </w:r>
      <w:r w:rsidR="00E34133">
        <w:rPr>
          <w:rFonts w:asciiTheme="majorBidi" w:hAnsiTheme="majorBidi" w:cstheme="majorBidi"/>
          <w:sz w:val="28"/>
          <w:szCs w:val="28"/>
        </w:rPr>
        <w:t xml:space="preserve"> period</w:t>
      </w:r>
      <w:r w:rsidR="003278F8">
        <w:rPr>
          <w:rFonts w:asciiTheme="majorBidi" w:hAnsiTheme="majorBidi" w:cstheme="majorBidi"/>
          <w:sz w:val="28"/>
          <w:szCs w:val="28"/>
        </w:rPr>
        <w:t xml:space="preserve"> </w:t>
      </w:r>
      <w:r w:rsidR="001C708B">
        <w:rPr>
          <w:rFonts w:asciiTheme="majorBidi" w:hAnsiTheme="majorBidi" w:cstheme="majorBidi"/>
          <w:sz w:val="28"/>
          <w:szCs w:val="28"/>
        </w:rPr>
        <w:t>than</w:t>
      </w:r>
      <w:r w:rsidR="00C8461E">
        <w:rPr>
          <w:rFonts w:asciiTheme="majorBidi" w:hAnsiTheme="majorBidi" w:cstheme="majorBidi"/>
          <w:sz w:val="28"/>
          <w:szCs w:val="28"/>
        </w:rPr>
        <w:t xml:space="preserve"> the</w:t>
      </w:r>
      <w:r w:rsidR="003278F8">
        <w:rPr>
          <w:rFonts w:asciiTheme="majorBidi" w:hAnsiTheme="majorBidi" w:cstheme="majorBidi"/>
          <w:sz w:val="28"/>
          <w:szCs w:val="28"/>
        </w:rPr>
        <w:t xml:space="preserve"> </w:t>
      </w:r>
      <w:r w:rsidR="000E3C24">
        <w:rPr>
          <w:rFonts w:asciiTheme="majorBidi" w:hAnsiTheme="majorBidi" w:cstheme="majorBidi"/>
          <w:sz w:val="28"/>
          <w:szCs w:val="28"/>
        </w:rPr>
        <w:t>forementioned</w:t>
      </w:r>
      <w:r w:rsidR="003278F8">
        <w:rPr>
          <w:rFonts w:asciiTheme="majorBidi" w:hAnsiTheme="majorBidi" w:cstheme="majorBidi"/>
          <w:sz w:val="28"/>
          <w:szCs w:val="28"/>
        </w:rPr>
        <w:t xml:space="preserve"> </w:t>
      </w:r>
      <w:r w:rsidR="00C702AD">
        <w:rPr>
          <w:rFonts w:asciiTheme="majorBidi" w:hAnsiTheme="majorBidi" w:cstheme="majorBidi"/>
          <w:sz w:val="28"/>
          <w:szCs w:val="28"/>
        </w:rPr>
        <w:t>research</w:t>
      </w:r>
      <w:r w:rsidR="003278F8">
        <w:rPr>
          <w:rFonts w:asciiTheme="majorBidi" w:hAnsiTheme="majorBidi" w:cstheme="majorBidi"/>
          <w:sz w:val="28"/>
          <w:szCs w:val="28"/>
        </w:rPr>
        <w:t>.</w:t>
      </w:r>
      <w:r w:rsidR="00D16E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75CFB">
        <w:rPr>
          <w:rFonts w:asciiTheme="majorBidi" w:hAnsiTheme="majorBidi" w:cstheme="majorBidi"/>
          <w:sz w:val="28"/>
          <w:szCs w:val="28"/>
        </w:rPr>
        <w:t>Salins</w:t>
      </w:r>
      <w:proofErr w:type="spellEnd"/>
      <w:r w:rsidR="00E75CFB">
        <w:rPr>
          <w:rFonts w:asciiTheme="majorBidi" w:hAnsiTheme="majorBidi" w:cstheme="majorBidi"/>
          <w:sz w:val="28"/>
          <w:szCs w:val="28"/>
        </w:rPr>
        <w:t xml:space="preserve"> L et al. </w:t>
      </w:r>
      <w:r w:rsidR="00E75CFB">
        <w:rPr>
          <w:rFonts w:asciiTheme="majorBidi" w:hAnsiTheme="majorBidi" w:cstheme="majorBidi"/>
          <w:sz w:val="28"/>
          <w:szCs w:val="28"/>
          <w:vertAlign w:val="superscript"/>
        </w:rPr>
        <w:t>21</w:t>
      </w:r>
      <w:r w:rsidR="00E75CFB">
        <w:rPr>
          <w:rFonts w:asciiTheme="majorBidi" w:hAnsiTheme="majorBidi" w:cstheme="majorBidi"/>
          <w:sz w:val="28"/>
          <w:szCs w:val="28"/>
        </w:rPr>
        <w:t xml:space="preserve"> </w:t>
      </w:r>
      <w:r w:rsidR="00C8461E">
        <w:rPr>
          <w:rFonts w:asciiTheme="majorBidi" w:hAnsiTheme="majorBidi" w:cstheme="majorBidi"/>
          <w:sz w:val="28"/>
          <w:szCs w:val="28"/>
        </w:rPr>
        <w:t>launched</w:t>
      </w:r>
      <w:r w:rsidR="00E75CFB">
        <w:rPr>
          <w:rFonts w:asciiTheme="majorBidi" w:hAnsiTheme="majorBidi" w:cstheme="majorBidi"/>
          <w:sz w:val="28"/>
          <w:szCs w:val="28"/>
        </w:rPr>
        <w:t xml:space="preserve"> multicentric </w:t>
      </w:r>
      <w:r w:rsidR="00D878EA">
        <w:rPr>
          <w:rFonts w:asciiTheme="majorBidi" w:hAnsiTheme="majorBidi" w:cstheme="majorBidi"/>
          <w:sz w:val="28"/>
          <w:szCs w:val="28"/>
        </w:rPr>
        <w:t>research</w:t>
      </w:r>
      <w:r w:rsidR="00E75CFB">
        <w:rPr>
          <w:rFonts w:asciiTheme="majorBidi" w:hAnsiTheme="majorBidi" w:cstheme="majorBidi"/>
          <w:sz w:val="28"/>
          <w:szCs w:val="28"/>
        </w:rPr>
        <w:t xml:space="preserve"> to </w:t>
      </w:r>
      <w:r w:rsidR="00915F35">
        <w:rPr>
          <w:rFonts w:asciiTheme="majorBidi" w:hAnsiTheme="majorBidi" w:cstheme="majorBidi"/>
          <w:sz w:val="28"/>
          <w:szCs w:val="28"/>
        </w:rPr>
        <w:t>evaluate</w:t>
      </w:r>
      <w:r w:rsidR="00E75CFB">
        <w:rPr>
          <w:rFonts w:asciiTheme="majorBidi" w:hAnsiTheme="majorBidi" w:cstheme="majorBidi"/>
          <w:sz w:val="28"/>
          <w:szCs w:val="28"/>
        </w:rPr>
        <w:t xml:space="preserve"> the </w:t>
      </w:r>
      <w:r w:rsidR="00915F35">
        <w:rPr>
          <w:rFonts w:asciiTheme="majorBidi" w:hAnsiTheme="majorBidi" w:cstheme="majorBidi"/>
          <w:sz w:val="28"/>
          <w:szCs w:val="28"/>
        </w:rPr>
        <w:t>influence</w:t>
      </w:r>
      <w:r w:rsidR="00E75CFB">
        <w:rPr>
          <w:rFonts w:asciiTheme="majorBidi" w:hAnsiTheme="majorBidi" w:cstheme="majorBidi"/>
          <w:sz w:val="28"/>
          <w:szCs w:val="28"/>
        </w:rPr>
        <w:t xml:space="preserve"> of goniotomy in </w:t>
      </w:r>
      <w:r w:rsidR="00C8461E">
        <w:rPr>
          <w:rFonts w:asciiTheme="majorBidi" w:hAnsiTheme="majorBidi" w:cstheme="majorBidi"/>
          <w:sz w:val="28"/>
          <w:szCs w:val="28"/>
        </w:rPr>
        <w:t>refractory</w:t>
      </w:r>
      <w:r w:rsidR="00E75CFB">
        <w:rPr>
          <w:rFonts w:asciiTheme="majorBidi" w:hAnsiTheme="majorBidi" w:cstheme="majorBidi"/>
          <w:sz w:val="28"/>
          <w:szCs w:val="28"/>
        </w:rPr>
        <w:t xml:space="preserve"> </w:t>
      </w:r>
      <w:r w:rsidR="00C8461E">
        <w:rPr>
          <w:rFonts w:asciiTheme="majorBidi" w:hAnsiTheme="majorBidi" w:cstheme="majorBidi"/>
          <w:sz w:val="28"/>
          <w:szCs w:val="28"/>
        </w:rPr>
        <w:t xml:space="preserve">and severe </w:t>
      </w:r>
      <w:r w:rsidR="00E75CFB">
        <w:rPr>
          <w:rFonts w:asciiTheme="majorBidi" w:hAnsiTheme="majorBidi" w:cstheme="majorBidi"/>
          <w:sz w:val="28"/>
          <w:szCs w:val="28"/>
        </w:rPr>
        <w:t>glaucoma.</w:t>
      </w:r>
      <w:r w:rsidR="00D16E70">
        <w:rPr>
          <w:rFonts w:asciiTheme="majorBidi" w:hAnsiTheme="majorBidi" w:cstheme="majorBidi"/>
          <w:sz w:val="28"/>
          <w:szCs w:val="28"/>
        </w:rPr>
        <w:t xml:space="preserve"> </w:t>
      </w:r>
      <w:r w:rsidR="00E75CFB">
        <w:rPr>
          <w:rFonts w:asciiTheme="majorBidi" w:hAnsiTheme="majorBidi" w:cstheme="majorBidi"/>
          <w:sz w:val="28"/>
          <w:szCs w:val="28"/>
        </w:rPr>
        <w:t xml:space="preserve">They </w:t>
      </w:r>
      <w:r w:rsidR="00D878EA">
        <w:rPr>
          <w:rFonts w:asciiTheme="majorBidi" w:hAnsiTheme="majorBidi" w:cstheme="majorBidi"/>
          <w:sz w:val="28"/>
          <w:szCs w:val="28"/>
        </w:rPr>
        <w:t xml:space="preserve">stated </w:t>
      </w:r>
      <w:r w:rsidR="00C8461E">
        <w:rPr>
          <w:rFonts w:asciiTheme="majorBidi" w:hAnsiTheme="majorBidi" w:cstheme="majorBidi"/>
          <w:sz w:val="28"/>
          <w:szCs w:val="28"/>
        </w:rPr>
        <w:t>&gt;</w:t>
      </w:r>
      <w:r w:rsidR="00C702AD">
        <w:rPr>
          <w:rFonts w:asciiTheme="majorBidi" w:hAnsiTheme="majorBidi" w:cstheme="majorBidi"/>
          <w:sz w:val="28"/>
          <w:szCs w:val="28"/>
        </w:rPr>
        <w:t xml:space="preserve"> </w:t>
      </w:r>
      <w:r w:rsidR="00E75CFB">
        <w:rPr>
          <w:rFonts w:asciiTheme="majorBidi" w:hAnsiTheme="majorBidi" w:cstheme="majorBidi"/>
          <w:sz w:val="28"/>
          <w:szCs w:val="28"/>
        </w:rPr>
        <w:t xml:space="preserve">20% IOP reduction in 57.7% of </w:t>
      </w:r>
      <w:r w:rsidR="00C8461E">
        <w:rPr>
          <w:rFonts w:asciiTheme="majorBidi" w:hAnsiTheme="majorBidi" w:cstheme="majorBidi"/>
          <w:sz w:val="28"/>
          <w:szCs w:val="28"/>
        </w:rPr>
        <w:t xml:space="preserve">their </w:t>
      </w:r>
      <w:r w:rsidR="00E75CFB">
        <w:rPr>
          <w:rFonts w:asciiTheme="majorBidi" w:hAnsiTheme="majorBidi" w:cstheme="majorBidi"/>
          <w:sz w:val="28"/>
          <w:szCs w:val="28"/>
        </w:rPr>
        <w:t>study patients.</w:t>
      </w:r>
      <w:r w:rsidR="00D16E70">
        <w:rPr>
          <w:rFonts w:asciiTheme="majorBidi" w:hAnsiTheme="majorBidi" w:cstheme="majorBidi"/>
          <w:sz w:val="28"/>
          <w:szCs w:val="28"/>
        </w:rPr>
        <w:t xml:space="preserve"> </w:t>
      </w:r>
      <w:r w:rsidR="00E75CFB">
        <w:rPr>
          <w:rFonts w:asciiTheme="majorBidi" w:hAnsiTheme="majorBidi" w:cstheme="majorBidi"/>
          <w:sz w:val="28"/>
          <w:szCs w:val="28"/>
        </w:rPr>
        <w:t xml:space="preserve">However, </w:t>
      </w:r>
      <w:r w:rsidR="00D878EA">
        <w:rPr>
          <w:rFonts w:asciiTheme="majorBidi" w:hAnsiTheme="majorBidi" w:cstheme="majorBidi"/>
          <w:sz w:val="28"/>
          <w:szCs w:val="28"/>
        </w:rPr>
        <w:t xml:space="preserve">they </w:t>
      </w:r>
      <w:r w:rsidR="00C8461E">
        <w:rPr>
          <w:rFonts w:asciiTheme="majorBidi" w:hAnsiTheme="majorBidi" w:cstheme="majorBidi"/>
          <w:sz w:val="28"/>
          <w:szCs w:val="28"/>
        </w:rPr>
        <w:t>had a short</w:t>
      </w:r>
      <w:r w:rsidR="00D878EA">
        <w:rPr>
          <w:rFonts w:asciiTheme="majorBidi" w:hAnsiTheme="majorBidi" w:cstheme="majorBidi"/>
          <w:sz w:val="28"/>
          <w:szCs w:val="28"/>
        </w:rPr>
        <w:t xml:space="preserve"> </w:t>
      </w:r>
      <w:r w:rsidR="009C21E4">
        <w:rPr>
          <w:rFonts w:asciiTheme="majorBidi" w:hAnsiTheme="majorBidi" w:cstheme="majorBidi"/>
          <w:sz w:val="28"/>
          <w:szCs w:val="28"/>
        </w:rPr>
        <w:t>six</w:t>
      </w:r>
      <w:r w:rsidR="00C8461E">
        <w:rPr>
          <w:rFonts w:asciiTheme="majorBidi" w:hAnsiTheme="majorBidi" w:cstheme="majorBidi"/>
          <w:sz w:val="28"/>
          <w:szCs w:val="28"/>
        </w:rPr>
        <w:t>-</w:t>
      </w:r>
      <w:r w:rsidR="00D878EA">
        <w:rPr>
          <w:rFonts w:asciiTheme="majorBidi" w:hAnsiTheme="majorBidi" w:cstheme="majorBidi"/>
          <w:sz w:val="28"/>
          <w:szCs w:val="28"/>
        </w:rPr>
        <w:t>month</w:t>
      </w:r>
      <w:r w:rsidR="00C8461E">
        <w:rPr>
          <w:rFonts w:asciiTheme="majorBidi" w:hAnsiTheme="majorBidi" w:cstheme="majorBidi"/>
          <w:sz w:val="28"/>
          <w:szCs w:val="28"/>
        </w:rPr>
        <w:t xml:space="preserve"> follow-up period</w:t>
      </w:r>
      <w:r w:rsidR="00E75CFB">
        <w:rPr>
          <w:rFonts w:asciiTheme="majorBidi" w:hAnsiTheme="majorBidi" w:cstheme="majorBidi"/>
          <w:sz w:val="28"/>
          <w:szCs w:val="28"/>
        </w:rPr>
        <w:t>.</w:t>
      </w:r>
    </w:p>
    <w:p w14:paraId="50E7174B" w14:textId="55460917" w:rsidR="00A83127" w:rsidRDefault="00A83127" w:rsidP="00B552B8">
      <w:pPr>
        <w:spacing w:line="48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It is </w:t>
      </w:r>
      <w:r w:rsidR="003E45B5">
        <w:rPr>
          <w:rFonts w:asciiTheme="majorBidi" w:hAnsiTheme="majorBidi" w:cstheme="majorBidi"/>
          <w:sz w:val="28"/>
          <w:szCs w:val="28"/>
        </w:rPr>
        <w:t>noticeable</w:t>
      </w:r>
      <w:r>
        <w:rPr>
          <w:rFonts w:asciiTheme="majorBidi" w:hAnsiTheme="majorBidi" w:cstheme="majorBidi"/>
          <w:sz w:val="28"/>
          <w:szCs w:val="28"/>
        </w:rPr>
        <w:t xml:space="preserve"> that</w:t>
      </w:r>
      <w:r w:rsidR="00905A81">
        <w:rPr>
          <w:rFonts w:asciiTheme="majorBidi" w:hAnsiTheme="majorBidi" w:cstheme="majorBidi"/>
          <w:sz w:val="28"/>
          <w:szCs w:val="28"/>
        </w:rPr>
        <w:t xml:space="preserve"> combined</w:t>
      </w:r>
      <w:r>
        <w:rPr>
          <w:rFonts w:asciiTheme="majorBidi" w:hAnsiTheme="majorBidi" w:cstheme="majorBidi"/>
          <w:sz w:val="28"/>
          <w:szCs w:val="28"/>
        </w:rPr>
        <w:t xml:space="preserve"> Phaco</w:t>
      </w:r>
      <w:r w:rsidR="00905A81">
        <w:rPr>
          <w:rFonts w:asciiTheme="majorBidi" w:hAnsiTheme="majorBidi" w:cstheme="majorBidi"/>
          <w:sz w:val="28"/>
          <w:szCs w:val="28"/>
        </w:rPr>
        <w:t>emulsification-</w:t>
      </w:r>
      <w:r>
        <w:rPr>
          <w:rFonts w:asciiTheme="majorBidi" w:hAnsiTheme="majorBidi" w:cstheme="majorBidi"/>
          <w:sz w:val="28"/>
          <w:szCs w:val="28"/>
        </w:rPr>
        <w:t>g</w:t>
      </w:r>
      <w:r w:rsidR="00905A81">
        <w:rPr>
          <w:rFonts w:asciiTheme="majorBidi" w:hAnsiTheme="majorBidi" w:cstheme="majorBidi"/>
          <w:sz w:val="28"/>
          <w:szCs w:val="28"/>
        </w:rPr>
        <w:t>o</w:t>
      </w:r>
      <w:r>
        <w:rPr>
          <w:rFonts w:asciiTheme="majorBidi" w:hAnsiTheme="majorBidi" w:cstheme="majorBidi"/>
          <w:sz w:val="28"/>
          <w:szCs w:val="28"/>
        </w:rPr>
        <w:t xml:space="preserve">niotomy </w:t>
      </w:r>
      <w:r w:rsidR="00C8461E">
        <w:rPr>
          <w:rFonts w:asciiTheme="majorBidi" w:hAnsiTheme="majorBidi" w:cstheme="majorBidi"/>
          <w:sz w:val="28"/>
          <w:szCs w:val="28"/>
        </w:rPr>
        <w:t>achieved lower IOP level</w:t>
      </w:r>
      <w:r>
        <w:rPr>
          <w:rFonts w:asciiTheme="majorBidi" w:hAnsiTheme="majorBidi" w:cstheme="majorBidi"/>
          <w:sz w:val="28"/>
          <w:szCs w:val="28"/>
        </w:rPr>
        <w:t xml:space="preserve"> in </w:t>
      </w:r>
      <w:r w:rsidR="00905A81">
        <w:rPr>
          <w:rFonts w:asciiTheme="majorBidi" w:hAnsiTheme="majorBidi" w:cstheme="majorBidi"/>
          <w:sz w:val="28"/>
          <w:szCs w:val="28"/>
        </w:rPr>
        <w:t>patients</w:t>
      </w:r>
      <w:r>
        <w:rPr>
          <w:rFonts w:asciiTheme="majorBidi" w:hAnsiTheme="majorBidi" w:cstheme="majorBidi"/>
          <w:sz w:val="28"/>
          <w:szCs w:val="28"/>
        </w:rPr>
        <w:t xml:space="preserve"> with moderate</w:t>
      </w:r>
      <w:r w:rsidR="00C8461E">
        <w:rPr>
          <w:rFonts w:asciiTheme="majorBidi" w:hAnsiTheme="majorBidi" w:cstheme="majorBidi"/>
          <w:sz w:val="28"/>
          <w:szCs w:val="28"/>
        </w:rPr>
        <w:t xml:space="preserve"> than </w:t>
      </w:r>
      <w:r w:rsidR="00905A81">
        <w:rPr>
          <w:rFonts w:asciiTheme="majorBidi" w:hAnsiTheme="majorBidi" w:cstheme="majorBidi"/>
          <w:sz w:val="28"/>
          <w:szCs w:val="28"/>
        </w:rPr>
        <w:t xml:space="preserve">those with </w:t>
      </w:r>
      <w:r w:rsidR="00C8461E">
        <w:rPr>
          <w:rFonts w:asciiTheme="majorBidi" w:hAnsiTheme="majorBidi" w:cstheme="majorBidi"/>
          <w:sz w:val="28"/>
          <w:szCs w:val="28"/>
        </w:rPr>
        <w:t>severe glaucoma</w:t>
      </w:r>
      <w:r>
        <w:rPr>
          <w:rFonts w:asciiTheme="majorBidi" w:hAnsiTheme="majorBidi" w:cstheme="majorBidi"/>
          <w:sz w:val="28"/>
          <w:szCs w:val="28"/>
        </w:rPr>
        <w:t>.</w:t>
      </w:r>
      <w:r w:rsidR="00D16E70">
        <w:rPr>
          <w:rFonts w:asciiTheme="majorBidi" w:hAnsiTheme="majorBidi" w:cstheme="majorBidi"/>
          <w:sz w:val="28"/>
          <w:szCs w:val="28"/>
        </w:rPr>
        <w:t xml:space="preserve"> </w:t>
      </w:r>
      <w:r w:rsidR="00905A81">
        <w:rPr>
          <w:rFonts w:asciiTheme="majorBidi" w:hAnsiTheme="majorBidi" w:cstheme="majorBidi"/>
          <w:sz w:val="28"/>
          <w:szCs w:val="28"/>
        </w:rPr>
        <w:t>That</w:t>
      </w:r>
      <w:r w:rsidR="0065129D">
        <w:rPr>
          <w:rFonts w:asciiTheme="majorBidi" w:hAnsiTheme="majorBidi" w:cstheme="majorBidi"/>
          <w:sz w:val="28"/>
          <w:szCs w:val="28"/>
        </w:rPr>
        <w:t xml:space="preserve"> could be </w:t>
      </w:r>
      <w:r w:rsidR="008D2C1D">
        <w:rPr>
          <w:rFonts w:asciiTheme="majorBidi" w:hAnsiTheme="majorBidi" w:cstheme="majorBidi"/>
          <w:sz w:val="28"/>
          <w:szCs w:val="28"/>
        </w:rPr>
        <w:t>understood</w:t>
      </w:r>
      <w:r w:rsidR="0065129D">
        <w:rPr>
          <w:rFonts w:asciiTheme="majorBidi" w:hAnsiTheme="majorBidi" w:cstheme="majorBidi"/>
          <w:sz w:val="28"/>
          <w:szCs w:val="28"/>
        </w:rPr>
        <w:t xml:space="preserve"> by the structural changes</w:t>
      </w:r>
      <w:r w:rsidR="00C8461E">
        <w:rPr>
          <w:rFonts w:asciiTheme="majorBidi" w:hAnsiTheme="majorBidi" w:cstheme="majorBidi"/>
          <w:sz w:val="28"/>
          <w:szCs w:val="28"/>
        </w:rPr>
        <w:t xml:space="preserve"> </w:t>
      </w:r>
      <w:r w:rsidR="00905A81">
        <w:rPr>
          <w:rFonts w:asciiTheme="majorBidi" w:hAnsiTheme="majorBidi" w:cstheme="majorBidi"/>
          <w:sz w:val="28"/>
          <w:szCs w:val="28"/>
        </w:rPr>
        <w:t>provoked</w:t>
      </w:r>
      <w:r w:rsidR="00C8461E">
        <w:rPr>
          <w:rFonts w:asciiTheme="majorBidi" w:hAnsiTheme="majorBidi" w:cstheme="majorBidi"/>
          <w:sz w:val="28"/>
          <w:szCs w:val="28"/>
        </w:rPr>
        <w:t xml:space="preserve"> by glaucoma</w:t>
      </w:r>
      <w:r w:rsidR="0065129D">
        <w:rPr>
          <w:rFonts w:asciiTheme="majorBidi" w:hAnsiTheme="majorBidi" w:cstheme="majorBidi"/>
          <w:sz w:val="28"/>
          <w:szCs w:val="28"/>
        </w:rPr>
        <w:t xml:space="preserve"> </w:t>
      </w:r>
      <w:r w:rsidR="00941EB0">
        <w:rPr>
          <w:rFonts w:asciiTheme="majorBidi" w:hAnsiTheme="majorBidi" w:cstheme="majorBidi"/>
          <w:sz w:val="28"/>
          <w:szCs w:val="28"/>
        </w:rPr>
        <w:t>in</w:t>
      </w:r>
      <w:r w:rsidR="0065129D">
        <w:rPr>
          <w:rFonts w:asciiTheme="majorBidi" w:hAnsiTheme="majorBidi" w:cstheme="majorBidi"/>
          <w:sz w:val="28"/>
          <w:szCs w:val="28"/>
        </w:rPr>
        <w:t xml:space="preserve"> the aqueous outflow </w:t>
      </w:r>
      <w:r w:rsidR="00C8461E">
        <w:rPr>
          <w:rFonts w:asciiTheme="majorBidi" w:hAnsiTheme="majorBidi" w:cstheme="majorBidi"/>
          <w:sz w:val="28"/>
          <w:szCs w:val="28"/>
        </w:rPr>
        <w:t>passages</w:t>
      </w:r>
      <w:r w:rsidR="0065129D">
        <w:rPr>
          <w:rFonts w:asciiTheme="majorBidi" w:hAnsiTheme="majorBidi" w:cstheme="majorBidi"/>
          <w:sz w:val="28"/>
          <w:szCs w:val="28"/>
        </w:rPr>
        <w:t>.</w:t>
      </w:r>
      <w:r w:rsidR="00D16E70">
        <w:rPr>
          <w:rFonts w:asciiTheme="majorBidi" w:hAnsiTheme="majorBidi" w:cstheme="majorBidi"/>
          <w:sz w:val="28"/>
          <w:szCs w:val="28"/>
        </w:rPr>
        <w:t xml:space="preserve"> </w:t>
      </w:r>
      <w:r w:rsidR="000936FB">
        <w:rPr>
          <w:rFonts w:asciiTheme="majorBidi" w:hAnsiTheme="majorBidi" w:cstheme="majorBidi"/>
          <w:sz w:val="28"/>
          <w:szCs w:val="28"/>
        </w:rPr>
        <w:t xml:space="preserve">Remodeling of </w:t>
      </w:r>
      <w:r w:rsidR="0065129D">
        <w:rPr>
          <w:rFonts w:asciiTheme="majorBidi" w:hAnsiTheme="majorBidi" w:cstheme="majorBidi"/>
          <w:sz w:val="28"/>
          <w:szCs w:val="28"/>
        </w:rPr>
        <w:t>the extracellular matrix</w:t>
      </w:r>
      <w:r w:rsidR="0008129D">
        <w:rPr>
          <w:rFonts w:asciiTheme="majorBidi" w:hAnsiTheme="majorBidi" w:cstheme="majorBidi"/>
          <w:sz w:val="28"/>
          <w:szCs w:val="28"/>
        </w:rPr>
        <w:t xml:space="preserve"> </w:t>
      </w:r>
      <w:r w:rsidR="000936FB">
        <w:rPr>
          <w:rFonts w:asciiTheme="majorBidi" w:hAnsiTheme="majorBidi" w:cstheme="majorBidi"/>
          <w:sz w:val="28"/>
          <w:szCs w:val="28"/>
        </w:rPr>
        <w:t xml:space="preserve">in the </w:t>
      </w:r>
      <w:r w:rsidR="0065129D">
        <w:rPr>
          <w:rFonts w:asciiTheme="majorBidi" w:hAnsiTheme="majorBidi" w:cstheme="majorBidi"/>
          <w:sz w:val="28"/>
          <w:szCs w:val="28"/>
        </w:rPr>
        <w:t xml:space="preserve">juxtacanalicular tissue, </w:t>
      </w:r>
      <w:r w:rsidR="002360EA">
        <w:rPr>
          <w:rFonts w:asciiTheme="majorBidi" w:hAnsiTheme="majorBidi" w:cstheme="majorBidi"/>
          <w:sz w:val="28"/>
          <w:szCs w:val="28"/>
        </w:rPr>
        <w:t>with subsequent</w:t>
      </w:r>
      <w:r w:rsidR="003C1311">
        <w:rPr>
          <w:rFonts w:asciiTheme="majorBidi" w:hAnsiTheme="majorBidi" w:cstheme="majorBidi"/>
          <w:sz w:val="28"/>
          <w:szCs w:val="28"/>
        </w:rPr>
        <w:t xml:space="preserve"> </w:t>
      </w:r>
      <w:r w:rsidR="0065129D">
        <w:rPr>
          <w:rFonts w:asciiTheme="majorBidi" w:hAnsiTheme="majorBidi" w:cstheme="majorBidi"/>
          <w:sz w:val="28"/>
          <w:szCs w:val="28"/>
        </w:rPr>
        <w:t xml:space="preserve">fibrillar content </w:t>
      </w:r>
      <w:r w:rsidR="0008129D">
        <w:rPr>
          <w:rFonts w:asciiTheme="majorBidi" w:hAnsiTheme="majorBidi" w:cstheme="majorBidi"/>
          <w:sz w:val="28"/>
          <w:szCs w:val="28"/>
        </w:rPr>
        <w:t xml:space="preserve">accumulation </w:t>
      </w:r>
      <w:r w:rsidR="007A0F71">
        <w:rPr>
          <w:rFonts w:asciiTheme="majorBidi" w:hAnsiTheme="majorBidi" w:cstheme="majorBidi"/>
          <w:sz w:val="28"/>
          <w:szCs w:val="28"/>
        </w:rPr>
        <w:t xml:space="preserve">and </w:t>
      </w:r>
      <w:r w:rsidR="002360EA">
        <w:rPr>
          <w:rFonts w:asciiTheme="majorBidi" w:hAnsiTheme="majorBidi" w:cstheme="majorBidi"/>
          <w:sz w:val="28"/>
          <w:szCs w:val="28"/>
        </w:rPr>
        <w:t>disruption of</w:t>
      </w:r>
      <w:r w:rsidR="0065129D">
        <w:rPr>
          <w:rFonts w:asciiTheme="majorBidi" w:hAnsiTheme="majorBidi" w:cstheme="majorBidi"/>
          <w:sz w:val="28"/>
          <w:szCs w:val="28"/>
        </w:rPr>
        <w:t xml:space="preserve"> the trabecular meshwork skeleton</w:t>
      </w:r>
      <w:r w:rsidR="000936FB">
        <w:rPr>
          <w:rFonts w:asciiTheme="majorBidi" w:hAnsiTheme="majorBidi" w:cstheme="majorBidi"/>
          <w:sz w:val="28"/>
          <w:szCs w:val="28"/>
        </w:rPr>
        <w:t xml:space="preserve"> is one of those changes</w:t>
      </w:r>
      <w:r w:rsidR="007A0F71">
        <w:rPr>
          <w:rFonts w:asciiTheme="majorBidi" w:hAnsiTheme="majorBidi" w:cstheme="majorBidi"/>
          <w:sz w:val="28"/>
          <w:szCs w:val="28"/>
        </w:rPr>
        <w:t>.</w:t>
      </w:r>
      <w:r w:rsidR="00D16E70">
        <w:rPr>
          <w:rFonts w:asciiTheme="majorBidi" w:hAnsiTheme="majorBidi" w:cstheme="majorBidi"/>
          <w:sz w:val="28"/>
          <w:szCs w:val="28"/>
        </w:rPr>
        <w:t xml:space="preserve"> </w:t>
      </w:r>
      <w:r w:rsidR="008D2C1D">
        <w:rPr>
          <w:rFonts w:asciiTheme="majorBidi" w:hAnsiTheme="majorBidi" w:cstheme="majorBidi"/>
          <w:sz w:val="28"/>
          <w:szCs w:val="28"/>
        </w:rPr>
        <w:t>Those changes are more evident in patients with severe glaucoma</w:t>
      </w:r>
      <w:r w:rsidR="008E794A">
        <w:rPr>
          <w:rFonts w:asciiTheme="majorBidi" w:hAnsiTheme="majorBidi" w:cstheme="majorBidi"/>
          <w:sz w:val="28"/>
          <w:szCs w:val="28"/>
        </w:rPr>
        <w:t>,</w:t>
      </w:r>
      <w:r w:rsidR="003C1311">
        <w:rPr>
          <w:rFonts w:asciiTheme="majorBidi" w:hAnsiTheme="majorBidi" w:cstheme="majorBidi"/>
          <w:sz w:val="28"/>
          <w:szCs w:val="28"/>
        </w:rPr>
        <w:t xml:space="preserve"> a</w:t>
      </w:r>
      <w:r w:rsidR="008D2C1D">
        <w:rPr>
          <w:rFonts w:asciiTheme="majorBidi" w:hAnsiTheme="majorBidi" w:cstheme="majorBidi"/>
          <w:sz w:val="28"/>
          <w:szCs w:val="28"/>
        </w:rPr>
        <w:t xml:space="preserve">s suggested by </w:t>
      </w:r>
      <w:proofErr w:type="spellStart"/>
      <w:r w:rsidR="003036F8">
        <w:rPr>
          <w:rFonts w:asciiTheme="majorBidi" w:hAnsiTheme="majorBidi" w:cstheme="majorBidi"/>
          <w:sz w:val="28"/>
          <w:szCs w:val="28"/>
        </w:rPr>
        <w:t>Gottanka</w:t>
      </w:r>
      <w:proofErr w:type="spellEnd"/>
      <w:r w:rsidR="003036F8">
        <w:rPr>
          <w:rFonts w:asciiTheme="majorBidi" w:hAnsiTheme="majorBidi" w:cstheme="majorBidi"/>
          <w:sz w:val="28"/>
          <w:szCs w:val="28"/>
        </w:rPr>
        <w:t xml:space="preserve"> J </w:t>
      </w:r>
      <w:r w:rsidR="009A6D88">
        <w:rPr>
          <w:rFonts w:asciiTheme="majorBidi" w:hAnsiTheme="majorBidi" w:cstheme="majorBidi"/>
          <w:sz w:val="28"/>
          <w:szCs w:val="28"/>
        </w:rPr>
        <w:t>et al.</w:t>
      </w:r>
      <w:r w:rsidR="0043592F">
        <w:rPr>
          <w:rFonts w:asciiTheme="majorBidi" w:hAnsiTheme="majorBidi" w:cstheme="majorBidi"/>
          <w:sz w:val="28"/>
          <w:szCs w:val="28"/>
        </w:rPr>
        <w:t xml:space="preserve"> </w:t>
      </w:r>
      <w:r w:rsidR="0043592F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="008D2C1D">
        <w:rPr>
          <w:rFonts w:asciiTheme="majorBidi" w:hAnsiTheme="majorBidi" w:cstheme="majorBidi"/>
          <w:sz w:val="28"/>
          <w:szCs w:val="28"/>
          <w:vertAlign w:val="superscript"/>
        </w:rPr>
        <w:t>2,2</w:t>
      </w:r>
      <w:r w:rsidR="00E75CFB">
        <w:rPr>
          <w:rFonts w:asciiTheme="majorBidi" w:hAnsiTheme="majorBidi" w:cstheme="majorBidi"/>
          <w:sz w:val="28"/>
          <w:szCs w:val="28"/>
          <w:vertAlign w:val="superscript"/>
        </w:rPr>
        <w:t>3</w:t>
      </w:r>
      <w:r w:rsidR="003036F8">
        <w:rPr>
          <w:rFonts w:asciiTheme="majorBidi" w:hAnsiTheme="majorBidi" w:cstheme="majorBidi"/>
          <w:sz w:val="28"/>
          <w:szCs w:val="28"/>
        </w:rPr>
        <w:t xml:space="preserve"> </w:t>
      </w:r>
      <w:r w:rsidR="00E75CFB">
        <w:rPr>
          <w:rFonts w:asciiTheme="majorBidi" w:hAnsiTheme="majorBidi" w:cstheme="majorBidi"/>
          <w:sz w:val="28"/>
          <w:szCs w:val="28"/>
        </w:rPr>
        <w:t xml:space="preserve">More </w:t>
      </w:r>
      <w:r w:rsidR="008D2C1D">
        <w:rPr>
          <w:rFonts w:asciiTheme="majorBidi" w:hAnsiTheme="majorBidi" w:cstheme="majorBidi"/>
          <w:sz w:val="28"/>
          <w:szCs w:val="28"/>
        </w:rPr>
        <w:t>research</w:t>
      </w:r>
      <w:r w:rsidR="00E75CFB">
        <w:rPr>
          <w:rFonts w:asciiTheme="majorBidi" w:hAnsiTheme="majorBidi" w:cstheme="majorBidi"/>
          <w:sz w:val="28"/>
          <w:szCs w:val="28"/>
        </w:rPr>
        <w:t xml:space="preserve"> </w:t>
      </w:r>
      <w:r w:rsidR="008D2C1D">
        <w:rPr>
          <w:rFonts w:asciiTheme="majorBidi" w:hAnsiTheme="majorBidi" w:cstheme="majorBidi"/>
          <w:sz w:val="28"/>
          <w:szCs w:val="28"/>
        </w:rPr>
        <w:t>is</w:t>
      </w:r>
      <w:r w:rsidR="00E75CFB">
        <w:rPr>
          <w:rFonts w:asciiTheme="majorBidi" w:hAnsiTheme="majorBidi" w:cstheme="majorBidi"/>
          <w:sz w:val="28"/>
          <w:szCs w:val="28"/>
        </w:rPr>
        <w:t xml:space="preserve"> </w:t>
      </w:r>
      <w:r w:rsidR="00905A81">
        <w:rPr>
          <w:rFonts w:asciiTheme="majorBidi" w:hAnsiTheme="majorBidi" w:cstheme="majorBidi"/>
          <w:sz w:val="28"/>
          <w:szCs w:val="28"/>
        </w:rPr>
        <w:t>required</w:t>
      </w:r>
      <w:r w:rsidR="00E75CFB">
        <w:rPr>
          <w:rFonts w:asciiTheme="majorBidi" w:hAnsiTheme="majorBidi" w:cstheme="majorBidi"/>
          <w:sz w:val="28"/>
          <w:szCs w:val="28"/>
        </w:rPr>
        <w:t xml:space="preserve"> to </w:t>
      </w:r>
      <w:r w:rsidR="008D2C1D">
        <w:rPr>
          <w:rFonts w:asciiTheme="majorBidi" w:hAnsiTheme="majorBidi" w:cstheme="majorBidi"/>
          <w:sz w:val="28"/>
          <w:szCs w:val="28"/>
        </w:rPr>
        <w:t>clarify</w:t>
      </w:r>
      <w:r w:rsidR="00E75CFB">
        <w:rPr>
          <w:rFonts w:asciiTheme="majorBidi" w:hAnsiTheme="majorBidi" w:cstheme="majorBidi"/>
          <w:sz w:val="28"/>
          <w:szCs w:val="28"/>
        </w:rPr>
        <w:t xml:space="preserve"> the </w:t>
      </w:r>
      <w:r w:rsidR="000F1B74">
        <w:rPr>
          <w:rFonts w:asciiTheme="majorBidi" w:hAnsiTheme="majorBidi" w:cstheme="majorBidi"/>
          <w:sz w:val="28"/>
          <w:szCs w:val="28"/>
        </w:rPr>
        <w:t>impact</w:t>
      </w:r>
      <w:r w:rsidR="00E75CFB">
        <w:rPr>
          <w:rFonts w:asciiTheme="majorBidi" w:hAnsiTheme="majorBidi" w:cstheme="majorBidi"/>
          <w:sz w:val="28"/>
          <w:szCs w:val="28"/>
        </w:rPr>
        <w:t xml:space="preserve"> of goniotomy on </w:t>
      </w:r>
      <w:r w:rsidR="0008129D">
        <w:rPr>
          <w:rFonts w:asciiTheme="majorBidi" w:hAnsiTheme="majorBidi" w:cstheme="majorBidi"/>
          <w:sz w:val="28"/>
          <w:szCs w:val="28"/>
        </w:rPr>
        <w:t>various</w:t>
      </w:r>
      <w:r w:rsidR="00E75CFB">
        <w:rPr>
          <w:rFonts w:asciiTheme="majorBidi" w:hAnsiTheme="majorBidi" w:cstheme="majorBidi"/>
          <w:sz w:val="28"/>
          <w:szCs w:val="28"/>
        </w:rPr>
        <w:t xml:space="preserve"> glaucoma </w:t>
      </w:r>
      <w:r w:rsidR="0008129D">
        <w:rPr>
          <w:rFonts w:asciiTheme="majorBidi" w:hAnsiTheme="majorBidi" w:cstheme="majorBidi"/>
          <w:sz w:val="28"/>
          <w:szCs w:val="28"/>
        </w:rPr>
        <w:t>levels</w:t>
      </w:r>
      <w:r w:rsidR="00E75CFB">
        <w:rPr>
          <w:rFonts w:asciiTheme="majorBidi" w:hAnsiTheme="majorBidi" w:cstheme="majorBidi"/>
          <w:sz w:val="28"/>
          <w:szCs w:val="28"/>
        </w:rPr>
        <w:t>.</w:t>
      </w:r>
    </w:p>
    <w:p w14:paraId="1AE137D8" w14:textId="38680A7A" w:rsidR="00F27A29" w:rsidRPr="00F27A29" w:rsidRDefault="00F27A29" w:rsidP="00F27A29">
      <w:pPr>
        <w:spacing w:line="48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We conclude that c</w:t>
      </w:r>
      <w:r w:rsidRPr="00F27A29">
        <w:rPr>
          <w:rFonts w:asciiTheme="majorBidi" w:hAnsiTheme="majorBidi" w:cstheme="majorBidi"/>
          <w:sz w:val="28"/>
          <w:szCs w:val="28"/>
        </w:rPr>
        <w:t xml:space="preserve">ombined </w:t>
      </w:r>
      <w:proofErr w:type="spellStart"/>
      <w:r w:rsidRPr="00F27A29">
        <w:rPr>
          <w:rFonts w:asciiTheme="majorBidi" w:hAnsiTheme="majorBidi" w:cstheme="majorBidi"/>
          <w:sz w:val="28"/>
          <w:szCs w:val="28"/>
        </w:rPr>
        <w:t>phaco</w:t>
      </w:r>
      <w:proofErr w:type="spellEnd"/>
      <w:r w:rsidRPr="00F27A29">
        <w:rPr>
          <w:rFonts w:asciiTheme="majorBidi" w:hAnsiTheme="majorBidi" w:cstheme="majorBidi"/>
          <w:sz w:val="28"/>
          <w:szCs w:val="28"/>
        </w:rPr>
        <w:t xml:space="preserve">-goniotomy shows higher efficacy with a good safety profile when compared to </w:t>
      </w:r>
      <w:proofErr w:type="spellStart"/>
      <w:r w:rsidRPr="00F27A29">
        <w:rPr>
          <w:rFonts w:asciiTheme="majorBidi" w:hAnsiTheme="majorBidi" w:cstheme="majorBidi"/>
          <w:sz w:val="28"/>
          <w:szCs w:val="28"/>
        </w:rPr>
        <w:t>phaco</w:t>
      </w:r>
      <w:proofErr w:type="spellEnd"/>
      <w:r w:rsidR="008C327F">
        <w:rPr>
          <w:rFonts w:asciiTheme="majorBidi" w:hAnsiTheme="majorBidi" w:cstheme="majorBidi"/>
          <w:sz w:val="28"/>
          <w:szCs w:val="28"/>
        </w:rPr>
        <w:t xml:space="preserve"> surgery alone</w:t>
      </w:r>
      <w:r w:rsidRPr="00F27A29">
        <w:rPr>
          <w:rFonts w:asciiTheme="majorBidi" w:hAnsiTheme="majorBidi" w:cstheme="majorBidi"/>
          <w:sz w:val="28"/>
          <w:szCs w:val="28"/>
        </w:rPr>
        <w:t xml:space="preserve"> in POAG </w:t>
      </w:r>
      <w:r w:rsidR="00FD6626">
        <w:rPr>
          <w:rFonts w:asciiTheme="majorBidi" w:hAnsiTheme="majorBidi" w:cstheme="majorBidi"/>
          <w:sz w:val="28"/>
          <w:szCs w:val="28"/>
        </w:rPr>
        <w:t xml:space="preserve">patients </w:t>
      </w:r>
      <w:r w:rsidR="008C327F">
        <w:rPr>
          <w:rFonts w:asciiTheme="majorBidi" w:hAnsiTheme="majorBidi" w:cstheme="majorBidi"/>
          <w:sz w:val="28"/>
          <w:szCs w:val="28"/>
        </w:rPr>
        <w:t>regarding</w:t>
      </w:r>
      <w:r w:rsidRPr="00F27A29">
        <w:rPr>
          <w:rFonts w:asciiTheme="majorBidi" w:hAnsiTheme="majorBidi" w:cstheme="majorBidi"/>
          <w:sz w:val="28"/>
          <w:szCs w:val="28"/>
        </w:rPr>
        <w:t xml:space="preserve"> </w:t>
      </w:r>
      <w:r w:rsidR="008C327F">
        <w:rPr>
          <w:rFonts w:asciiTheme="majorBidi" w:hAnsiTheme="majorBidi" w:cstheme="majorBidi"/>
          <w:sz w:val="28"/>
          <w:szCs w:val="28"/>
        </w:rPr>
        <w:t xml:space="preserve">the control of </w:t>
      </w:r>
      <w:r w:rsidRPr="00F27A29">
        <w:rPr>
          <w:rFonts w:asciiTheme="majorBidi" w:hAnsiTheme="majorBidi" w:cstheme="majorBidi"/>
          <w:sz w:val="28"/>
          <w:szCs w:val="28"/>
        </w:rPr>
        <w:t xml:space="preserve">IOP, especially </w:t>
      </w:r>
      <w:r w:rsidR="00FD6626">
        <w:rPr>
          <w:rFonts w:asciiTheme="majorBidi" w:hAnsiTheme="majorBidi" w:cstheme="majorBidi"/>
          <w:sz w:val="28"/>
          <w:szCs w:val="28"/>
        </w:rPr>
        <w:t>in</w:t>
      </w:r>
      <w:r w:rsidRPr="00F27A29">
        <w:rPr>
          <w:rFonts w:asciiTheme="majorBidi" w:hAnsiTheme="majorBidi" w:cstheme="majorBidi"/>
          <w:sz w:val="28"/>
          <w:szCs w:val="28"/>
        </w:rPr>
        <w:t xml:space="preserve"> moderate POAG.</w:t>
      </w:r>
    </w:p>
    <w:p w14:paraId="1454D5C6" w14:textId="37643CE2" w:rsidR="00ED000B" w:rsidRPr="00FA7596" w:rsidRDefault="00ED000B" w:rsidP="00B552B8">
      <w:pPr>
        <w:spacing w:line="48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14:paraId="5C575F92" w14:textId="77777777" w:rsidR="00971567" w:rsidRDefault="00971567" w:rsidP="00435D3F">
      <w:pPr>
        <w:spacing w:line="480" w:lineRule="auto"/>
        <w:jc w:val="both"/>
      </w:pPr>
    </w:p>
    <w:p w14:paraId="1EFA3C4F" w14:textId="2A08BA62" w:rsidR="00971567" w:rsidRDefault="00055AFE" w:rsidP="00B552B8">
      <w:pPr>
        <w:spacing w:line="480" w:lineRule="auto"/>
        <w:ind w:firstLine="567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Figure Legends:</w:t>
      </w:r>
    </w:p>
    <w:p w14:paraId="67553481" w14:textId="77777777" w:rsidR="00055AFE" w:rsidRDefault="00055AFE" w:rsidP="00B552B8">
      <w:pPr>
        <w:spacing w:line="480" w:lineRule="auto"/>
        <w:jc w:val="center"/>
        <w:rPr>
          <w:rFonts w:cstheme="minorHAnsi"/>
          <w:b/>
          <w:bCs/>
          <w:sz w:val="32"/>
          <w:szCs w:val="32"/>
        </w:rPr>
      </w:pPr>
    </w:p>
    <w:p w14:paraId="5FAE4906" w14:textId="37E833B0" w:rsidR="00055AFE" w:rsidRDefault="00055AFE" w:rsidP="00B552B8">
      <w:pPr>
        <w:spacing w:line="480" w:lineRule="auto"/>
        <w:jc w:val="center"/>
        <w:rPr>
          <w:sz w:val="28"/>
          <w:szCs w:val="28"/>
        </w:rPr>
      </w:pPr>
      <w:r w:rsidRPr="00A954FD">
        <w:rPr>
          <w:b/>
          <w:bCs/>
          <w:sz w:val="28"/>
          <w:szCs w:val="28"/>
        </w:rPr>
        <w:t>Figure (1)</w:t>
      </w:r>
      <w:r w:rsidR="0013545F">
        <w:rPr>
          <w:b/>
          <w:bCs/>
          <w:sz w:val="28"/>
          <w:szCs w:val="28"/>
        </w:rPr>
        <w:t>:</w:t>
      </w:r>
      <w:r w:rsidRPr="00A954FD">
        <w:rPr>
          <w:b/>
          <w:bCs/>
          <w:sz w:val="28"/>
          <w:szCs w:val="28"/>
        </w:rPr>
        <w:t xml:space="preserve"> </w:t>
      </w:r>
      <w:r w:rsidRPr="00A954FD">
        <w:rPr>
          <w:sz w:val="28"/>
          <w:szCs w:val="28"/>
        </w:rPr>
        <w:t xml:space="preserve">Effect of phacoemulsification on </w:t>
      </w:r>
      <w:proofErr w:type="gramStart"/>
      <w:r w:rsidRPr="00A954FD">
        <w:rPr>
          <w:sz w:val="28"/>
          <w:szCs w:val="28"/>
        </w:rPr>
        <w:t>IOP  in</w:t>
      </w:r>
      <w:proofErr w:type="gramEnd"/>
      <w:r w:rsidRPr="00A954FD">
        <w:rPr>
          <w:sz w:val="28"/>
          <w:szCs w:val="28"/>
        </w:rPr>
        <w:t xml:space="preserve"> cases of moderate POAG</w:t>
      </w:r>
    </w:p>
    <w:p w14:paraId="3C3457C0" w14:textId="77777777" w:rsidR="00055AFE" w:rsidRDefault="00055AFE" w:rsidP="00B552B8">
      <w:pPr>
        <w:spacing w:line="480" w:lineRule="auto"/>
        <w:jc w:val="center"/>
        <w:rPr>
          <w:sz w:val="28"/>
          <w:szCs w:val="28"/>
        </w:rPr>
      </w:pPr>
      <w:r w:rsidRPr="001F2322">
        <w:rPr>
          <w:sz w:val="28"/>
          <w:szCs w:val="28"/>
        </w:rPr>
        <w:t xml:space="preserve">Data are presented as mean ± SE </w:t>
      </w:r>
    </w:p>
    <w:p w14:paraId="3F174228" w14:textId="77777777" w:rsidR="00055AFE" w:rsidRPr="00055AFE" w:rsidRDefault="00055AFE" w:rsidP="00B552B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M: moderate POAG</w:t>
      </w:r>
    </w:p>
    <w:p w14:paraId="7A51D776" w14:textId="77777777" w:rsidR="00055AFE" w:rsidRDefault="00055AFE" w:rsidP="00B552B8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 :</w:t>
      </w:r>
      <w:proofErr w:type="gramEnd"/>
      <w:r>
        <w:rPr>
          <w:sz w:val="28"/>
          <w:szCs w:val="28"/>
        </w:rPr>
        <w:t xml:space="preserve"> difference (reduction ) of IOP  from before </w:t>
      </w:r>
      <w:proofErr w:type="spellStart"/>
      <w:r>
        <w:rPr>
          <w:sz w:val="28"/>
          <w:szCs w:val="28"/>
        </w:rPr>
        <w:t>phaco</w:t>
      </w:r>
      <w:proofErr w:type="spellEnd"/>
      <w:r>
        <w:rPr>
          <w:sz w:val="28"/>
          <w:szCs w:val="28"/>
        </w:rPr>
        <w:t xml:space="preserve"> with no drop.</w:t>
      </w:r>
    </w:p>
    <w:p w14:paraId="69523077" w14:textId="76BE7F46" w:rsidR="00055AFE" w:rsidRDefault="00055AFE" w:rsidP="00B552B8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b:</w:t>
      </w:r>
      <w:r w:rsidRPr="00007A44">
        <w:t xml:space="preserve"> </w:t>
      </w:r>
      <w:r w:rsidRPr="00007A44">
        <w:rPr>
          <w:sz w:val="28"/>
          <w:szCs w:val="28"/>
        </w:rPr>
        <w:t xml:space="preserve">difference from after </w:t>
      </w:r>
      <w:proofErr w:type="spellStart"/>
      <w:r w:rsidRPr="00007A44">
        <w:rPr>
          <w:sz w:val="28"/>
          <w:szCs w:val="28"/>
        </w:rPr>
        <w:t>phaco</w:t>
      </w:r>
      <w:proofErr w:type="spellEnd"/>
      <w:r w:rsidRPr="00007A44">
        <w:rPr>
          <w:sz w:val="28"/>
          <w:szCs w:val="28"/>
        </w:rPr>
        <w:t xml:space="preserve"> (no drops)</w:t>
      </w:r>
      <w:r>
        <w:rPr>
          <w:sz w:val="28"/>
          <w:szCs w:val="28"/>
        </w:rPr>
        <w:t>.</w:t>
      </w:r>
    </w:p>
    <w:p w14:paraId="0525A881" w14:textId="42D07C05" w:rsidR="00055AFE" w:rsidRDefault="00055AFE" w:rsidP="00B552B8">
      <w:pPr>
        <w:spacing w:line="480" w:lineRule="auto"/>
        <w:ind w:firstLine="567"/>
        <w:jc w:val="both"/>
        <w:rPr>
          <w:sz w:val="28"/>
          <w:szCs w:val="28"/>
        </w:rPr>
      </w:pPr>
    </w:p>
    <w:p w14:paraId="190BFA62" w14:textId="3EDB0263" w:rsidR="00055AFE" w:rsidRDefault="00055AFE" w:rsidP="00B552B8">
      <w:pPr>
        <w:spacing w:line="480" w:lineRule="auto"/>
        <w:rPr>
          <w:sz w:val="28"/>
          <w:szCs w:val="28"/>
        </w:rPr>
      </w:pPr>
      <w:r w:rsidRPr="00A954FD">
        <w:rPr>
          <w:b/>
          <w:bCs/>
          <w:sz w:val="28"/>
          <w:szCs w:val="28"/>
        </w:rPr>
        <w:t>Figure (</w:t>
      </w:r>
      <w:r>
        <w:rPr>
          <w:b/>
          <w:bCs/>
          <w:sz w:val="28"/>
          <w:szCs w:val="28"/>
        </w:rPr>
        <w:t>2</w:t>
      </w:r>
      <w:r w:rsidRPr="00A954FD">
        <w:rPr>
          <w:b/>
          <w:bCs/>
          <w:sz w:val="28"/>
          <w:szCs w:val="28"/>
        </w:rPr>
        <w:t>)</w:t>
      </w:r>
      <w:r w:rsidR="0013545F">
        <w:rPr>
          <w:b/>
          <w:bCs/>
          <w:sz w:val="28"/>
          <w:szCs w:val="28"/>
        </w:rPr>
        <w:t>:</w:t>
      </w:r>
      <w:r w:rsidRPr="00A954FD">
        <w:rPr>
          <w:b/>
          <w:bCs/>
          <w:sz w:val="28"/>
          <w:szCs w:val="28"/>
        </w:rPr>
        <w:t xml:space="preserve"> </w:t>
      </w:r>
      <w:r w:rsidRPr="00A954FD">
        <w:rPr>
          <w:sz w:val="28"/>
          <w:szCs w:val="28"/>
        </w:rPr>
        <w:t xml:space="preserve">Effect of phacoemulsification on </w:t>
      </w:r>
      <w:proofErr w:type="gramStart"/>
      <w:r w:rsidRPr="00A954FD">
        <w:rPr>
          <w:sz w:val="28"/>
          <w:szCs w:val="28"/>
        </w:rPr>
        <w:t>IOP  in</w:t>
      </w:r>
      <w:proofErr w:type="gramEnd"/>
      <w:r w:rsidRPr="00A954FD">
        <w:rPr>
          <w:sz w:val="28"/>
          <w:szCs w:val="28"/>
        </w:rPr>
        <w:t xml:space="preserve"> cases of </w:t>
      </w:r>
      <w:r>
        <w:rPr>
          <w:sz w:val="28"/>
          <w:szCs w:val="28"/>
        </w:rPr>
        <w:t>severe</w:t>
      </w:r>
      <w:r w:rsidRPr="00A954FD">
        <w:rPr>
          <w:sz w:val="28"/>
          <w:szCs w:val="28"/>
        </w:rPr>
        <w:t xml:space="preserve"> POAG</w:t>
      </w:r>
    </w:p>
    <w:p w14:paraId="7B913C6B" w14:textId="77777777" w:rsidR="00055AFE" w:rsidRPr="00000970" w:rsidRDefault="00055AFE" w:rsidP="00B552B8">
      <w:pPr>
        <w:spacing w:line="480" w:lineRule="auto"/>
        <w:jc w:val="center"/>
        <w:rPr>
          <w:sz w:val="28"/>
          <w:szCs w:val="28"/>
        </w:rPr>
      </w:pPr>
      <w:r w:rsidRPr="001F2322">
        <w:rPr>
          <w:sz w:val="28"/>
          <w:szCs w:val="28"/>
        </w:rPr>
        <w:t>Data are presented as mean ± SE</w:t>
      </w:r>
    </w:p>
    <w:p w14:paraId="0DC7C544" w14:textId="77777777" w:rsidR="00055AFE" w:rsidRPr="00055AFE" w:rsidRDefault="00055AFE" w:rsidP="00B552B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S: Severe POAG</w:t>
      </w:r>
    </w:p>
    <w:p w14:paraId="43E786DD" w14:textId="77777777" w:rsidR="00055AFE" w:rsidRDefault="00055AFE" w:rsidP="00B552B8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 :</w:t>
      </w:r>
      <w:proofErr w:type="gramEnd"/>
      <w:r>
        <w:rPr>
          <w:sz w:val="28"/>
          <w:szCs w:val="28"/>
        </w:rPr>
        <w:t xml:space="preserve"> difference (reduction ) of IOP  from before </w:t>
      </w:r>
      <w:proofErr w:type="spellStart"/>
      <w:r>
        <w:rPr>
          <w:sz w:val="28"/>
          <w:szCs w:val="28"/>
        </w:rPr>
        <w:t>phaco</w:t>
      </w:r>
      <w:proofErr w:type="spellEnd"/>
      <w:r>
        <w:rPr>
          <w:sz w:val="28"/>
          <w:szCs w:val="28"/>
        </w:rPr>
        <w:t xml:space="preserve"> with no drop.</w:t>
      </w:r>
    </w:p>
    <w:p w14:paraId="242D98DD" w14:textId="77777777" w:rsidR="00055AFE" w:rsidRDefault="00055AFE" w:rsidP="00B552B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b:</w:t>
      </w:r>
      <w:r w:rsidRPr="00007A44">
        <w:t xml:space="preserve"> </w:t>
      </w:r>
      <w:r w:rsidRPr="00007A44">
        <w:rPr>
          <w:sz w:val="28"/>
          <w:szCs w:val="28"/>
        </w:rPr>
        <w:t xml:space="preserve">difference from after </w:t>
      </w:r>
      <w:proofErr w:type="spellStart"/>
      <w:r w:rsidRPr="00007A44">
        <w:rPr>
          <w:sz w:val="28"/>
          <w:szCs w:val="28"/>
        </w:rPr>
        <w:t>phaco</w:t>
      </w:r>
      <w:proofErr w:type="spellEnd"/>
      <w:r w:rsidRPr="00007A44">
        <w:rPr>
          <w:sz w:val="28"/>
          <w:szCs w:val="28"/>
        </w:rPr>
        <w:t xml:space="preserve"> (no drops)</w:t>
      </w:r>
      <w:r>
        <w:rPr>
          <w:sz w:val="28"/>
          <w:szCs w:val="28"/>
        </w:rPr>
        <w:t>.</w:t>
      </w:r>
    </w:p>
    <w:p w14:paraId="53329758" w14:textId="4FB5C1DC" w:rsidR="00055AFE" w:rsidRDefault="00055AFE" w:rsidP="00B552B8">
      <w:pPr>
        <w:spacing w:line="480" w:lineRule="auto"/>
        <w:ind w:firstLine="567"/>
        <w:jc w:val="both"/>
        <w:rPr>
          <w:sz w:val="28"/>
          <w:szCs w:val="28"/>
        </w:rPr>
      </w:pPr>
    </w:p>
    <w:p w14:paraId="5CBBAFEB" w14:textId="0247FB15" w:rsidR="0013545F" w:rsidRDefault="0013545F" w:rsidP="00B552B8">
      <w:pPr>
        <w:spacing w:line="480" w:lineRule="auto"/>
        <w:rPr>
          <w:sz w:val="28"/>
          <w:szCs w:val="28"/>
        </w:rPr>
      </w:pPr>
      <w:r w:rsidRPr="00CE7959">
        <w:rPr>
          <w:b/>
          <w:bCs/>
          <w:sz w:val="28"/>
          <w:szCs w:val="28"/>
        </w:rPr>
        <w:t>Figure</w:t>
      </w:r>
      <w:r>
        <w:rPr>
          <w:b/>
          <w:bCs/>
          <w:sz w:val="28"/>
          <w:szCs w:val="28"/>
        </w:rPr>
        <w:t xml:space="preserve"> </w:t>
      </w:r>
      <w:r w:rsidRPr="00CE7959">
        <w:rPr>
          <w:b/>
          <w:bCs/>
          <w:sz w:val="28"/>
          <w:szCs w:val="28"/>
        </w:rPr>
        <w:t>(3)</w:t>
      </w:r>
      <w:r>
        <w:rPr>
          <w:b/>
          <w:bCs/>
          <w:sz w:val="28"/>
          <w:szCs w:val="28"/>
        </w:rPr>
        <w:t xml:space="preserve">: </w:t>
      </w:r>
      <w:r w:rsidRPr="00CE7959">
        <w:rPr>
          <w:sz w:val="28"/>
          <w:szCs w:val="28"/>
        </w:rPr>
        <w:t xml:space="preserve">Effect of combined </w:t>
      </w:r>
      <w:proofErr w:type="spellStart"/>
      <w:r w:rsidRPr="00CE7959">
        <w:rPr>
          <w:sz w:val="28"/>
          <w:szCs w:val="28"/>
        </w:rPr>
        <w:t>phacogoniotomy</w:t>
      </w:r>
      <w:proofErr w:type="spellEnd"/>
      <w:r w:rsidRPr="00CE7959">
        <w:rPr>
          <w:sz w:val="28"/>
          <w:szCs w:val="28"/>
        </w:rPr>
        <w:t xml:space="preserve"> in moderate POAG</w:t>
      </w:r>
    </w:p>
    <w:p w14:paraId="2758A363" w14:textId="77777777" w:rsidR="0013545F" w:rsidRPr="00CE7959" w:rsidRDefault="0013545F" w:rsidP="00B552B8">
      <w:pPr>
        <w:spacing w:line="480" w:lineRule="auto"/>
        <w:rPr>
          <w:sz w:val="28"/>
          <w:szCs w:val="28"/>
        </w:rPr>
      </w:pPr>
      <w:r w:rsidRPr="00CE7959">
        <w:rPr>
          <w:sz w:val="28"/>
          <w:szCs w:val="28"/>
        </w:rPr>
        <w:t xml:space="preserve"> </w:t>
      </w:r>
      <w:r w:rsidRPr="001F2322">
        <w:rPr>
          <w:sz w:val="28"/>
          <w:szCs w:val="28"/>
        </w:rPr>
        <w:t xml:space="preserve">Data are presented as mean ± SE </w:t>
      </w:r>
    </w:p>
    <w:p w14:paraId="0E80DEB7" w14:textId="77777777" w:rsidR="0013545F" w:rsidRDefault="0013545F" w:rsidP="00B552B8">
      <w:pPr>
        <w:spacing w:line="480" w:lineRule="auto"/>
        <w:rPr>
          <w:sz w:val="28"/>
          <w:szCs w:val="28"/>
        </w:rPr>
      </w:pPr>
      <w:r w:rsidRPr="00CE7959">
        <w:rPr>
          <w:sz w:val="28"/>
          <w:szCs w:val="28"/>
        </w:rPr>
        <w:t>a:</w:t>
      </w:r>
      <w:r>
        <w:rPr>
          <w:sz w:val="28"/>
          <w:szCs w:val="28"/>
        </w:rPr>
        <w:t xml:space="preserve"> </w:t>
      </w:r>
      <w:r w:rsidRPr="00CE7959">
        <w:rPr>
          <w:sz w:val="28"/>
          <w:szCs w:val="28"/>
        </w:rPr>
        <w:t xml:space="preserve">difference of </w:t>
      </w:r>
      <w:r>
        <w:rPr>
          <w:sz w:val="28"/>
          <w:szCs w:val="28"/>
        </w:rPr>
        <w:t>IOP</w:t>
      </w:r>
      <w:r w:rsidRPr="00CE7959">
        <w:rPr>
          <w:sz w:val="28"/>
          <w:szCs w:val="28"/>
        </w:rPr>
        <w:t xml:space="preserve"> after </w:t>
      </w:r>
      <w:proofErr w:type="spellStart"/>
      <w:r w:rsidRPr="00CE7959">
        <w:rPr>
          <w:sz w:val="28"/>
          <w:szCs w:val="28"/>
        </w:rPr>
        <w:t>phacogoniotomy</w:t>
      </w:r>
      <w:proofErr w:type="spellEnd"/>
      <w:r w:rsidRPr="00CE7959">
        <w:rPr>
          <w:sz w:val="28"/>
          <w:szCs w:val="28"/>
        </w:rPr>
        <w:t xml:space="preserve"> without </w:t>
      </w:r>
      <w:r>
        <w:rPr>
          <w:sz w:val="28"/>
          <w:szCs w:val="28"/>
        </w:rPr>
        <w:t xml:space="preserve">the </w:t>
      </w:r>
      <w:r w:rsidRPr="00CE7959">
        <w:rPr>
          <w:sz w:val="28"/>
          <w:szCs w:val="28"/>
        </w:rPr>
        <w:t xml:space="preserve">use of any drops from before </w:t>
      </w:r>
      <w:proofErr w:type="spellStart"/>
      <w:r w:rsidRPr="00CE7959">
        <w:rPr>
          <w:sz w:val="28"/>
          <w:szCs w:val="28"/>
        </w:rPr>
        <w:t>phacogoniotomy</w:t>
      </w:r>
      <w:proofErr w:type="spellEnd"/>
    </w:p>
    <w:p w14:paraId="0ADAF655" w14:textId="46B0C2DD" w:rsidR="0013545F" w:rsidRDefault="0013545F" w:rsidP="00B552B8">
      <w:pPr>
        <w:spacing w:line="480" w:lineRule="auto"/>
        <w:ind w:firstLine="567"/>
        <w:jc w:val="both"/>
        <w:rPr>
          <w:sz w:val="28"/>
          <w:szCs w:val="28"/>
        </w:rPr>
      </w:pPr>
    </w:p>
    <w:p w14:paraId="74F2E680" w14:textId="6616D0BC" w:rsidR="0013545F" w:rsidRDefault="0013545F" w:rsidP="00B552B8">
      <w:pPr>
        <w:spacing w:line="480" w:lineRule="auto"/>
        <w:rPr>
          <w:sz w:val="28"/>
          <w:szCs w:val="28"/>
        </w:rPr>
      </w:pPr>
      <w:r w:rsidRPr="00025B73">
        <w:rPr>
          <w:b/>
          <w:bCs/>
          <w:sz w:val="28"/>
          <w:szCs w:val="28"/>
        </w:rPr>
        <w:t>Figure (4)</w:t>
      </w:r>
      <w:r>
        <w:rPr>
          <w:b/>
          <w:bCs/>
          <w:sz w:val="28"/>
          <w:szCs w:val="28"/>
        </w:rPr>
        <w:t>:</w:t>
      </w:r>
      <w:r w:rsidRPr="00025B73">
        <w:rPr>
          <w:sz w:val="28"/>
          <w:szCs w:val="28"/>
        </w:rPr>
        <w:t xml:space="preserve"> Effect of </w:t>
      </w:r>
      <w:proofErr w:type="spellStart"/>
      <w:r w:rsidRPr="00025B73">
        <w:rPr>
          <w:sz w:val="28"/>
          <w:szCs w:val="28"/>
        </w:rPr>
        <w:t>phacogoniotomy</w:t>
      </w:r>
      <w:proofErr w:type="spellEnd"/>
      <w:r w:rsidRPr="00025B73">
        <w:rPr>
          <w:sz w:val="28"/>
          <w:szCs w:val="28"/>
        </w:rPr>
        <w:t xml:space="preserve"> on </w:t>
      </w:r>
      <w:r>
        <w:rPr>
          <w:sz w:val="28"/>
          <w:szCs w:val="28"/>
        </w:rPr>
        <w:t xml:space="preserve">IOP </w:t>
      </w:r>
      <w:r w:rsidRPr="00025B73">
        <w:rPr>
          <w:sz w:val="28"/>
          <w:szCs w:val="28"/>
        </w:rPr>
        <w:t>in severe POAG</w:t>
      </w:r>
    </w:p>
    <w:p w14:paraId="2581A853" w14:textId="77777777" w:rsidR="0013545F" w:rsidRPr="00025B73" w:rsidRDefault="0013545F" w:rsidP="00B552B8">
      <w:pPr>
        <w:spacing w:line="480" w:lineRule="auto"/>
        <w:rPr>
          <w:sz w:val="28"/>
          <w:szCs w:val="28"/>
        </w:rPr>
      </w:pPr>
      <w:r w:rsidRPr="001F2322">
        <w:rPr>
          <w:sz w:val="28"/>
          <w:szCs w:val="28"/>
        </w:rPr>
        <w:t xml:space="preserve">Data are presented as mean ± SE </w:t>
      </w:r>
    </w:p>
    <w:p w14:paraId="7A233A50" w14:textId="77777777" w:rsidR="0013545F" w:rsidRPr="00025B73" w:rsidRDefault="0013545F" w:rsidP="00B552B8">
      <w:pPr>
        <w:spacing w:line="480" w:lineRule="auto"/>
        <w:rPr>
          <w:sz w:val="28"/>
          <w:szCs w:val="28"/>
        </w:rPr>
      </w:pPr>
      <w:r w:rsidRPr="00025B73">
        <w:rPr>
          <w:sz w:val="28"/>
          <w:szCs w:val="28"/>
        </w:rPr>
        <w:t xml:space="preserve">a: difference from before </w:t>
      </w:r>
      <w:proofErr w:type="spellStart"/>
      <w:r w:rsidRPr="00025B73">
        <w:rPr>
          <w:sz w:val="28"/>
          <w:szCs w:val="28"/>
        </w:rPr>
        <w:t>phacogoniotomy</w:t>
      </w:r>
      <w:proofErr w:type="spellEnd"/>
      <w:r w:rsidRPr="00025B73">
        <w:rPr>
          <w:sz w:val="28"/>
          <w:szCs w:val="28"/>
        </w:rPr>
        <w:t xml:space="preserve"> </w:t>
      </w:r>
    </w:p>
    <w:p w14:paraId="3480F7D0" w14:textId="77777777" w:rsidR="0013545F" w:rsidRPr="00C71C60" w:rsidRDefault="0013545F" w:rsidP="00B552B8">
      <w:pPr>
        <w:spacing w:line="480" w:lineRule="auto"/>
        <w:jc w:val="both"/>
        <w:rPr>
          <w:sz w:val="28"/>
          <w:szCs w:val="28"/>
        </w:rPr>
      </w:pPr>
      <w:r w:rsidRPr="00025B73">
        <w:rPr>
          <w:sz w:val="28"/>
          <w:szCs w:val="28"/>
        </w:rPr>
        <w:t>b:</w:t>
      </w:r>
      <w:r>
        <w:rPr>
          <w:sz w:val="28"/>
          <w:szCs w:val="28"/>
        </w:rPr>
        <w:t xml:space="preserve"> </w:t>
      </w:r>
      <w:r w:rsidRPr="00025B73">
        <w:rPr>
          <w:sz w:val="28"/>
          <w:szCs w:val="28"/>
        </w:rPr>
        <w:t xml:space="preserve">difference from after </w:t>
      </w:r>
      <w:proofErr w:type="spellStart"/>
      <w:r w:rsidRPr="00025B73">
        <w:rPr>
          <w:sz w:val="28"/>
          <w:szCs w:val="28"/>
        </w:rPr>
        <w:t>phacogoniotomy</w:t>
      </w:r>
      <w:proofErr w:type="spellEnd"/>
      <w:r w:rsidRPr="00025B73">
        <w:rPr>
          <w:sz w:val="28"/>
          <w:szCs w:val="28"/>
        </w:rPr>
        <w:t xml:space="preserve"> (no drops</w:t>
      </w:r>
      <w:r>
        <w:rPr>
          <w:sz w:val="28"/>
          <w:szCs w:val="28"/>
        </w:rPr>
        <w:t>)</w:t>
      </w:r>
    </w:p>
    <w:p w14:paraId="1364F076" w14:textId="77777777" w:rsidR="006D35FA" w:rsidRDefault="006D35FA" w:rsidP="00B552B8">
      <w:pPr>
        <w:spacing w:line="480" w:lineRule="auto"/>
        <w:rPr>
          <w:sz w:val="28"/>
          <w:szCs w:val="28"/>
        </w:rPr>
      </w:pPr>
    </w:p>
    <w:p w14:paraId="624B50AB" w14:textId="281D9EE1" w:rsidR="006D35FA" w:rsidRPr="00BB2FD9" w:rsidRDefault="006D35FA" w:rsidP="00B552B8">
      <w:pPr>
        <w:spacing w:line="480" w:lineRule="auto"/>
        <w:rPr>
          <w:sz w:val="28"/>
          <w:szCs w:val="28"/>
        </w:rPr>
      </w:pPr>
      <w:r w:rsidRPr="00F7639B">
        <w:rPr>
          <w:b/>
          <w:bCs/>
          <w:sz w:val="28"/>
          <w:szCs w:val="28"/>
        </w:rPr>
        <w:t>Figure (5)</w:t>
      </w:r>
      <w:r w:rsidRPr="004A6F59">
        <w:rPr>
          <w:sz w:val="28"/>
          <w:szCs w:val="28"/>
        </w:rPr>
        <w:t xml:space="preserve"> comparison between percentage </w:t>
      </w:r>
      <w:r>
        <w:rPr>
          <w:sz w:val="28"/>
          <w:szCs w:val="28"/>
        </w:rPr>
        <w:t xml:space="preserve">postoperative </w:t>
      </w:r>
      <w:r w:rsidRPr="004A6F59">
        <w:rPr>
          <w:sz w:val="28"/>
          <w:szCs w:val="28"/>
        </w:rPr>
        <w:t xml:space="preserve">IOP from </w:t>
      </w:r>
      <w:r>
        <w:rPr>
          <w:sz w:val="28"/>
          <w:szCs w:val="28"/>
        </w:rPr>
        <w:t>preoperative</w:t>
      </w:r>
      <w:r w:rsidRPr="004A6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non-medicated </w:t>
      </w:r>
      <w:r w:rsidRPr="004A6F59">
        <w:rPr>
          <w:sz w:val="28"/>
          <w:szCs w:val="28"/>
        </w:rPr>
        <w:t xml:space="preserve">IOP in </w:t>
      </w:r>
      <w:r>
        <w:rPr>
          <w:sz w:val="28"/>
          <w:szCs w:val="28"/>
        </w:rPr>
        <w:t>the study groups</w:t>
      </w:r>
    </w:p>
    <w:p w14:paraId="7E62ADEC" w14:textId="77777777" w:rsidR="006D35FA" w:rsidRDefault="006D35FA" w:rsidP="00B552B8">
      <w:pPr>
        <w:spacing w:line="480" w:lineRule="auto"/>
        <w:jc w:val="center"/>
        <w:rPr>
          <w:sz w:val="28"/>
          <w:szCs w:val="28"/>
        </w:rPr>
      </w:pPr>
      <w:r w:rsidRPr="001F2322">
        <w:rPr>
          <w:sz w:val="28"/>
          <w:szCs w:val="28"/>
        </w:rPr>
        <w:t>Data are presented as mean ± SE</w:t>
      </w:r>
    </w:p>
    <w:p w14:paraId="2AB735F7" w14:textId="2C058947" w:rsidR="006D35FA" w:rsidRDefault="006D35FA" w:rsidP="00B552B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M: Moderate POAG</w:t>
      </w:r>
    </w:p>
    <w:p w14:paraId="519E08B1" w14:textId="0C6F87BB" w:rsidR="006D35FA" w:rsidRDefault="006D35FA" w:rsidP="00B552B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S: Severe POAG</w:t>
      </w:r>
      <w:r w:rsidRPr="001F2322">
        <w:rPr>
          <w:sz w:val="28"/>
          <w:szCs w:val="28"/>
        </w:rPr>
        <w:t xml:space="preserve"> </w:t>
      </w:r>
    </w:p>
    <w:p w14:paraId="2DB6CA1B" w14:textId="5D395C9F" w:rsidR="006D35FA" w:rsidRDefault="006D35FA" w:rsidP="00B552B8">
      <w:pPr>
        <w:spacing w:line="480" w:lineRule="auto"/>
        <w:rPr>
          <w:sz w:val="28"/>
          <w:szCs w:val="28"/>
        </w:rPr>
      </w:pPr>
    </w:p>
    <w:p w14:paraId="68244E04" w14:textId="3AF7ED9F" w:rsidR="006D35FA" w:rsidRPr="00B018F1" w:rsidRDefault="006D35FA" w:rsidP="00B552B8">
      <w:pPr>
        <w:spacing w:line="480" w:lineRule="auto"/>
        <w:rPr>
          <w:sz w:val="28"/>
          <w:szCs w:val="28"/>
        </w:rPr>
      </w:pPr>
      <w:r w:rsidRPr="006D35FA">
        <w:rPr>
          <w:b/>
          <w:bCs/>
          <w:sz w:val="28"/>
          <w:szCs w:val="28"/>
        </w:rPr>
        <w:t>Figure (6):</w:t>
      </w:r>
      <w:r>
        <w:rPr>
          <w:sz w:val="28"/>
          <w:szCs w:val="28"/>
        </w:rPr>
        <w:t xml:space="preserve"> C</w:t>
      </w:r>
      <w:r w:rsidRPr="00E82462">
        <w:rPr>
          <w:sz w:val="28"/>
          <w:szCs w:val="28"/>
        </w:rPr>
        <w:t xml:space="preserve">omparison between </w:t>
      </w:r>
      <w:r>
        <w:rPr>
          <w:sz w:val="28"/>
          <w:szCs w:val="28"/>
        </w:rPr>
        <w:t xml:space="preserve">the </w:t>
      </w:r>
      <w:r w:rsidRPr="00E82462">
        <w:rPr>
          <w:sz w:val="28"/>
          <w:szCs w:val="28"/>
        </w:rPr>
        <w:t xml:space="preserve">number of </w:t>
      </w:r>
      <w:r>
        <w:rPr>
          <w:sz w:val="28"/>
          <w:szCs w:val="28"/>
        </w:rPr>
        <w:t>IOP lowering</w:t>
      </w:r>
      <w:r w:rsidRPr="00E82462">
        <w:rPr>
          <w:sz w:val="28"/>
          <w:szCs w:val="28"/>
        </w:rPr>
        <w:t xml:space="preserve"> </w:t>
      </w:r>
      <w:r w:rsidR="0053527D">
        <w:rPr>
          <w:sz w:val="28"/>
          <w:szCs w:val="28"/>
        </w:rPr>
        <w:t>drops</w:t>
      </w:r>
      <w:r w:rsidRPr="00E82462">
        <w:rPr>
          <w:sz w:val="28"/>
          <w:szCs w:val="28"/>
        </w:rPr>
        <w:t xml:space="preserve"> before and after </w:t>
      </w:r>
      <w:proofErr w:type="spellStart"/>
      <w:r w:rsidRPr="00E82462">
        <w:rPr>
          <w:sz w:val="28"/>
          <w:szCs w:val="28"/>
        </w:rPr>
        <w:t>phaco</w:t>
      </w:r>
      <w:proofErr w:type="spellEnd"/>
      <w:r w:rsidRPr="00E82462">
        <w:rPr>
          <w:sz w:val="28"/>
          <w:szCs w:val="28"/>
        </w:rPr>
        <w:t xml:space="preserve"> </w:t>
      </w:r>
      <w:r>
        <w:rPr>
          <w:sz w:val="28"/>
          <w:szCs w:val="28"/>
        </w:rPr>
        <w:t>in Pm,</w:t>
      </w:r>
      <w:r w:rsidRPr="00E82462">
        <w:rPr>
          <w:sz w:val="28"/>
          <w:szCs w:val="28"/>
        </w:rPr>
        <w:t xml:space="preserve"> </w:t>
      </w:r>
      <w:r>
        <w:rPr>
          <w:sz w:val="28"/>
          <w:szCs w:val="28"/>
        </w:rPr>
        <w:t>Ps</w:t>
      </w:r>
      <w:r w:rsidRPr="00E82462">
        <w:rPr>
          <w:sz w:val="28"/>
          <w:szCs w:val="28"/>
        </w:rPr>
        <w:t>,</w:t>
      </w:r>
      <w:r>
        <w:rPr>
          <w:sz w:val="28"/>
          <w:szCs w:val="28"/>
        </w:rPr>
        <w:t xml:space="preserve"> PGs,</w:t>
      </w:r>
      <w:r w:rsidRPr="00E824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</w:t>
      </w:r>
      <w:proofErr w:type="spellStart"/>
      <w:r>
        <w:rPr>
          <w:sz w:val="28"/>
          <w:szCs w:val="28"/>
        </w:rPr>
        <w:t>PGm</w:t>
      </w:r>
      <w:proofErr w:type="spellEnd"/>
      <w:r>
        <w:rPr>
          <w:sz w:val="28"/>
          <w:szCs w:val="28"/>
        </w:rPr>
        <w:t xml:space="preserve"> groups</w:t>
      </w:r>
    </w:p>
    <w:p w14:paraId="7CA318A0" w14:textId="77777777" w:rsidR="006D35FA" w:rsidRPr="006D35FA" w:rsidRDefault="006D35FA" w:rsidP="00B552B8">
      <w:pPr>
        <w:spacing w:line="480" w:lineRule="auto"/>
        <w:rPr>
          <w:sz w:val="28"/>
          <w:szCs w:val="28"/>
        </w:rPr>
      </w:pPr>
    </w:p>
    <w:p w14:paraId="4EA9F895" w14:textId="5DB41E5C" w:rsidR="006D35FA" w:rsidRPr="00091A15" w:rsidRDefault="006D35FA" w:rsidP="00B552B8">
      <w:pPr>
        <w:spacing w:line="480" w:lineRule="auto"/>
        <w:rPr>
          <w:sz w:val="28"/>
          <w:szCs w:val="28"/>
        </w:rPr>
      </w:pPr>
      <w:r w:rsidRPr="00091A15">
        <w:rPr>
          <w:b/>
          <w:bCs/>
          <w:sz w:val="28"/>
          <w:szCs w:val="28"/>
        </w:rPr>
        <w:t>Figure (7)</w:t>
      </w:r>
      <w:r w:rsidRPr="00091A15">
        <w:rPr>
          <w:sz w:val="28"/>
          <w:szCs w:val="28"/>
        </w:rPr>
        <w:t xml:space="preserve"> IOP</w:t>
      </w:r>
      <w:r w:rsidR="000F4C05">
        <w:rPr>
          <w:sz w:val="28"/>
          <w:szCs w:val="28"/>
        </w:rPr>
        <w:t xml:space="preserve"> change</w:t>
      </w:r>
      <w:r w:rsidRPr="00091A15">
        <w:rPr>
          <w:sz w:val="28"/>
          <w:szCs w:val="28"/>
        </w:rPr>
        <w:t xml:space="preserve"> from </w:t>
      </w:r>
      <w:r w:rsidR="008C327F" w:rsidRPr="00091A15">
        <w:rPr>
          <w:sz w:val="28"/>
          <w:szCs w:val="28"/>
        </w:rPr>
        <w:t>non-medicated</w:t>
      </w:r>
      <w:r w:rsidRPr="00091A15">
        <w:rPr>
          <w:sz w:val="28"/>
          <w:szCs w:val="28"/>
        </w:rPr>
        <w:t xml:space="preserve"> </w:t>
      </w:r>
      <w:r w:rsidR="008C327F">
        <w:rPr>
          <w:sz w:val="28"/>
          <w:szCs w:val="28"/>
        </w:rPr>
        <w:t>preoperative</w:t>
      </w:r>
      <w:r w:rsidR="008C327F" w:rsidRPr="00091A15">
        <w:rPr>
          <w:sz w:val="28"/>
          <w:szCs w:val="28"/>
        </w:rPr>
        <w:t xml:space="preserve"> </w:t>
      </w:r>
      <w:r w:rsidR="000F4C05">
        <w:rPr>
          <w:sz w:val="28"/>
          <w:szCs w:val="28"/>
        </w:rPr>
        <w:t>level</w:t>
      </w:r>
      <w:r w:rsidRPr="00091A15">
        <w:rPr>
          <w:sz w:val="28"/>
          <w:szCs w:val="28"/>
        </w:rPr>
        <w:t xml:space="preserve"> and its relation to change in </w:t>
      </w:r>
      <w:r>
        <w:rPr>
          <w:sz w:val="28"/>
          <w:szCs w:val="28"/>
        </w:rPr>
        <w:t xml:space="preserve">the </w:t>
      </w:r>
      <w:r w:rsidRPr="00091A15">
        <w:rPr>
          <w:sz w:val="28"/>
          <w:szCs w:val="28"/>
        </w:rPr>
        <w:t xml:space="preserve">number of </w:t>
      </w:r>
      <w:r w:rsidR="008C327F">
        <w:rPr>
          <w:sz w:val="28"/>
          <w:szCs w:val="28"/>
        </w:rPr>
        <w:t>IOP lowering</w:t>
      </w:r>
      <w:r w:rsidRPr="00091A15">
        <w:rPr>
          <w:sz w:val="28"/>
          <w:szCs w:val="28"/>
        </w:rPr>
        <w:t xml:space="preserve"> </w:t>
      </w:r>
      <w:r w:rsidR="000F4C05">
        <w:rPr>
          <w:sz w:val="28"/>
          <w:szCs w:val="28"/>
        </w:rPr>
        <w:t>drops</w:t>
      </w:r>
      <w:r w:rsidRPr="00091A15">
        <w:rPr>
          <w:sz w:val="28"/>
          <w:szCs w:val="28"/>
        </w:rPr>
        <w:t xml:space="preserve"> over </w:t>
      </w:r>
      <w:r w:rsidR="008C327F">
        <w:rPr>
          <w:sz w:val="28"/>
          <w:szCs w:val="28"/>
        </w:rPr>
        <w:t>the study period</w:t>
      </w:r>
      <w:r w:rsidRPr="00091A15">
        <w:rPr>
          <w:sz w:val="28"/>
          <w:szCs w:val="28"/>
        </w:rPr>
        <w:t xml:space="preserve"> </w:t>
      </w:r>
      <w:r>
        <w:rPr>
          <w:sz w:val="28"/>
          <w:szCs w:val="28"/>
        </w:rPr>
        <w:t>at</w:t>
      </w:r>
      <w:r w:rsidRPr="00091A15">
        <w:rPr>
          <w:sz w:val="28"/>
          <w:szCs w:val="28"/>
        </w:rPr>
        <w:t xml:space="preserve"> </w:t>
      </w:r>
      <w:r>
        <w:rPr>
          <w:sz w:val="28"/>
          <w:szCs w:val="28"/>
        </w:rPr>
        <w:t>one</w:t>
      </w:r>
      <w:r w:rsidRPr="00091A15">
        <w:rPr>
          <w:sz w:val="28"/>
          <w:szCs w:val="28"/>
        </w:rPr>
        <w:t xml:space="preserve"> week,</w:t>
      </w:r>
      <w:r>
        <w:rPr>
          <w:sz w:val="28"/>
          <w:szCs w:val="28"/>
        </w:rPr>
        <w:t xml:space="preserve"> one </w:t>
      </w:r>
      <w:r w:rsidRPr="00091A15">
        <w:rPr>
          <w:sz w:val="28"/>
          <w:szCs w:val="28"/>
        </w:rPr>
        <w:t>month,</w:t>
      </w:r>
      <w:r>
        <w:rPr>
          <w:sz w:val="28"/>
          <w:szCs w:val="28"/>
        </w:rPr>
        <w:t xml:space="preserve"> </w:t>
      </w:r>
      <w:r w:rsidR="00E75CFB">
        <w:rPr>
          <w:sz w:val="28"/>
          <w:szCs w:val="28"/>
        </w:rPr>
        <w:t>six</w:t>
      </w:r>
      <w:r>
        <w:rPr>
          <w:sz w:val="28"/>
          <w:szCs w:val="28"/>
        </w:rPr>
        <w:t xml:space="preserve"> </w:t>
      </w:r>
      <w:r w:rsidRPr="00091A15">
        <w:rPr>
          <w:sz w:val="28"/>
          <w:szCs w:val="28"/>
        </w:rPr>
        <w:t>months,</w:t>
      </w:r>
      <w:r>
        <w:rPr>
          <w:sz w:val="28"/>
          <w:szCs w:val="28"/>
        </w:rPr>
        <w:t xml:space="preserve"> </w:t>
      </w:r>
      <w:r w:rsidRPr="00091A15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091A15">
        <w:rPr>
          <w:sz w:val="28"/>
          <w:szCs w:val="28"/>
        </w:rPr>
        <w:t>months</w:t>
      </w:r>
      <w:r>
        <w:rPr>
          <w:sz w:val="28"/>
          <w:szCs w:val="28"/>
        </w:rPr>
        <w:t>,</w:t>
      </w:r>
      <w:r w:rsidRPr="00091A15">
        <w:rPr>
          <w:sz w:val="28"/>
          <w:szCs w:val="28"/>
        </w:rPr>
        <w:t xml:space="preserve"> and 24 months</w:t>
      </w:r>
    </w:p>
    <w:p w14:paraId="2CBA3C89" w14:textId="77777777" w:rsidR="006D35FA" w:rsidRDefault="006D35FA" w:rsidP="00B552B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M: Moderate POAG</w:t>
      </w:r>
    </w:p>
    <w:p w14:paraId="440F7322" w14:textId="720F9F26" w:rsidR="006D35FA" w:rsidRPr="006D35FA" w:rsidRDefault="006D35FA" w:rsidP="00B552B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S: Severe POAG</w:t>
      </w:r>
      <w:r w:rsidRPr="001F2322">
        <w:rPr>
          <w:sz w:val="28"/>
          <w:szCs w:val="28"/>
        </w:rPr>
        <w:t xml:space="preserve"> </w:t>
      </w:r>
    </w:p>
    <w:p w14:paraId="02518B15" w14:textId="77777777" w:rsidR="00055AFE" w:rsidRDefault="00055AFE" w:rsidP="00B552B8">
      <w:pPr>
        <w:spacing w:line="480" w:lineRule="auto"/>
        <w:ind w:firstLine="567"/>
        <w:jc w:val="both"/>
        <w:rPr>
          <w:rFonts w:cstheme="minorHAnsi"/>
          <w:b/>
          <w:bCs/>
          <w:sz w:val="32"/>
          <w:szCs w:val="32"/>
        </w:rPr>
      </w:pPr>
    </w:p>
    <w:p w14:paraId="505976F2" w14:textId="1D27EECC" w:rsidR="009351F0" w:rsidRDefault="00055AFE" w:rsidP="00B57769">
      <w:pPr>
        <w:spacing w:line="480" w:lineRule="auto"/>
        <w:jc w:val="both"/>
        <w:rPr>
          <w:rFonts w:cstheme="minorHAnsi"/>
          <w:sz w:val="32"/>
          <w:szCs w:val="32"/>
        </w:rPr>
      </w:pPr>
      <w:r w:rsidRPr="00055AFE">
        <w:rPr>
          <w:rFonts w:cstheme="minorHAnsi"/>
          <w:b/>
          <w:bCs/>
          <w:sz w:val="32"/>
          <w:szCs w:val="32"/>
        </w:rPr>
        <w:t>Figure (8):</w:t>
      </w:r>
      <w:r>
        <w:rPr>
          <w:rFonts w:cstheme="minorHAnsi"/>
          <w:sz w:val="32"/>
          <w:szCs w:val="32"/>
        </w:rPr>
        <w:t xml:space="preserve"> Hyphema after incising the trabecular meshwork</w:t>
      </w:r>
    </w:p>
    <w:p w14:paraId="2000D536" w14:textId="28A88576" w:rsidR="00CF7308" w:rsidRDefault="00CF7308" w:rsidP="00B57769">
      <w:pPr>
        <w:spacing w:line="480" w:lineRule="auto"/>
        <w:jc w:val="both"/>
        <w:rPr>
          <w:rFonts w:cstheme="minorHAnsi"/>
          <w:sz w:val="32"/>
          <w:szCs w:val="32"/>
        </w:rPr>
      </w:pPr>
    </w:p>
    <w:p w14:paraId="1C9C35B2" w14:textId="77777777" w:rsidR="00CF7308" w:rsidRPr="008D429F" w:rsidRDefault="00CF7308" w:rsidP="00CF7308">
      <w:pPr>
        <w:jc w:val="center"/>
        <w:rPr>
          <w:b/>
          <w:bCs/>
        </w:rPr>
      </w:pPr>
      <w:r w:rsidRPr="008D429F">
        <w:rPr>
          <w:b/>
          <w:bCs/>
        </w:rPr>
        <w:t>Tables</w:t>
      </w:r>
    </w:p>
    <w:p w14:paraId="2FC49C0C" w14:textId="77777777" w:rsidR="00CF7308" w:rsidRDefault="00CF7308" w:rsidP="00CF73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4"/>
        <w:gridCol w:w="901"/>
        <w:gridCol w:w="1397"/>
        <w:gridCol w:w="1381"/>
        <w:gridCol w:w="1319"/>
        <w:gridCol w:w="1321"/>
        <w:gridCol w:w="1447"/>
      </w:tblGrid>
      <w:tr w:rsidR="00CF7308" w:rsidRPr="003E4CB8" w14:paraId="5C140AE2" w14:textId="77777777" w:rsidTr="00D857C6">
        <w:tc>
          <w:tcPr>
            <w:tcW w:w="1952" w:type="dxa"/>
            <w:gridSpan w:val="2"/>
          </w:tcPr>
          <w:p w14:paraId="24A33C8C" w14:textId="77777777" w:rsidR="00CF7308" w:rsidRPr="000E065C" w:rsidRDefault="00CF7308" w:rsidP="00D857C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45" w:type="dxa"/>
          </w:tcPr>
          <w:p w14:paraId="25568594" w14:textId="690EF850" w:rsidR="00CF7308" w:rsidRPr="000E065C" w:rsidRDefault="00CF7308" w:rsidP="00D857C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E065C">
              <w:rPr>
                <w:rFonts w:asciiTheme="majorBidi" w:hAnsiTheme="majorBidi" w:cstheme="majorBidi"/>
                <w:b/>
                <w:bCs/>
              </w:rPr>
              <w:t xml:space="preserve">Group </w:t>
            </w:r>
            <w:proofErr w:type="spellStart"/>
            <w:r w:rsidRPr="000E065C">
              <w:rPr>
                <w:rFonts w:asciiTheme="majorBidi" w:hAnsiTheme="majorBidi" w:cstheme="majorBidi"/>
                <w:b/>
                <w:bCs/>
              </w:rPr>
              <w:t>P</w:t>
            </w:r>
            <w:r w:rsidR="000F4C05">
              <w:rPr>
                <w:rFonts w:asciiTheme="majorBidi" w:hAnsiTheme="majorBidi" w:cstheme="majorBidi"/>
                <w:b/>
                <w:bCs/>
              </w:rPr>
              <w:t>hM</w:t>
            </w:r>
            <w:proofErr w:type="spellEnd"/>
          </w:p>
        </w:tc>
        <w:tc>
          <w:tcPr>
            <w:tcW w:w="1418" w:type="dxa"/>
          </w:tcPr>
          <w:p w14:paraId="034F3385" w14:textId="1DC62294" w:rsidR="00CF7308" w:rsidRPr="000E065C" w:rsidRDefault="00CF7308" w:rsidP="00D857C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Group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P</w:t>
            </w:r>
            <w:r w:rsidR="000F4C05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G</w:t>
            </w:r>
            <w:r w:rsidR="000F4C05">
              <w:rPr>
                <w:rFonts w:asciiTheme="majorBidi" w:hAnsiTheme="majorBidi" w:cstheme="majorBidi"/>
                <w:b/>
                <w:bCs/>
              </w:rPr>
              <w:t>M</w:t>
            </w:r>
            <w:proofErr w:type="spellEnd"/>
          </w:p>
        </w:tc>
        <w:tc>
          <w:tcPr>
            <w:tcW w:w="1346" w:type="dxa"/>
          </w:tcPr>
          <w:p w14:paraId="10782400" w14:textId="4493EED4" w:rsidR="00CF7308" w:rsidRPr="000E065C" w:rsidRDefault="00CF7308" w:rsidP="00D857C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E065C">
              <w:rPr>
                <w:rFonts w:asciiTheme="majorBidi" w:hAnsiTheme="majorBidi" w:cstheme="majorBidi"/>
                <w:b/>
                <w:bCs/>
              </w:rPr>
              <w:t xml:space="preserve">Group </w:t>
            </w:r>
            <w:proofErr w:type="spellStart"/>
            <w:r w:rsidRPr="000E065C">
              <w:rPr>
                <w:rFonts w:asciiTheme="majorBidi" w:hAnsiTheme="majorBidi" w:cstheme="majorBidi"/>
                <w:b/>
                <w:bCs/>
              </w:rPr>
              <w:t>P</w:t>
            </w:r>
            <w:r w:rsidR="000F4C05">
              <w:rPr>
                <w:rFonts w:asciiTheme="majorBidi" w:hAnsiTheme="majorBidi" w:cstheme="majorBidi"/>
                <w:b/>
                <w:bCs/>
              </w:rPr>
              <w:t>hS</w:t>
            </w:r>
            <w:proofErr w:type="spellEnd"/>
          </w:p>
        </w:tc>
        <w:tc>
          <w:tcPr>
            <w:tcW w:w="1333" w:type="dxa"/>
          </w:tcPr>
          <w:p w14:paraId="6C09CDB2" w14:textId="09B0F770" w:rsidR="00CF7308" w:rsidRPr="000E065C" w:rsidRDefault="00CF7308" w:rsidP="00D857C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Group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P</w:t>
            </w:r>
            <w:r w:rsidR="000F4C05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G</w:t>
            </w:r>
            <w:r w:rsidR="000F4C05">
              <w:rPr>
                <w:rFonts w:asciiTheme="majorBidi" w:hAnsiTheme="majorBidi" w:cstheme="majorBidi"/>
                <w:b/>
                <w:bCs/>
              </w:rPr>
              <w:t>S</w:t>
            </w:r>
            <w:proofErr w:type="spellEnd"/>
          </w:p>
        </w:tc>
        <w:tc>
          <w:tcPr>
            <w:tcW w:w="1516" w:type="dxa"/>
          </w:tcPr>
          <w:p w14:paraId="4F251143" w14:textId="77777777" w:rsidR="00CF7308" w:rsidRPr="000E065C" w:rsidRDefault="00CF7308" w:rsidP="00D857C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E065C">
              <w:rPr>
                <w:rFonts w:asciiTheme="majorBidi" w:hAnsiTheme="majorBidi" w:cstheme="majorBidi"/>
                <w:b/>
                <w:bCs/>
              </w:rPr>
              <w:t>P-value</w:t>
            </w:r>
          </w:p>
        </w:tc>
      </w:tr>
      <w:tr w:rsidR="00CF7308" w14:paraId="6CBE0AB6" w14:textId="77777777" w:rsidTr="00D857C6">
        <w:tc>
          <w:tcPr>
            <w:tcW w:w="1952" w:type="dxa"/>
            <w:gridSpan w:val="2"/>
          </w:tcPr>
          <w:p w14:paraId="07F26E40" w14:textId="77777777" w:rsidR="00CF7308" w:rsidRPr="000E065C" w:rsidRDefault="00CF7308" w:rsidP="00D857C6">
            <w:pPr>
              <w:jc w:val="center"/>
              <w:rPr>
                <w:rFonts w:asciiTheme="majorBidi" w:hAnsiTheme="majorBidi" w:cstheme="majorBidi"/>
              </w:rPr>
            </w:pPr>
            <w:r w:rsidRPr="000E065C">
              <w:rPr>
                <w:rFonts w:asciiTheme="majorBidi" w:hAnsiTheme="majorBidi" w:cstheme="majorBidi"/>
                <w:b/>
                <w:bCs/>
              </w:rPr>
              <w:t xml:space="preserve">Age </w:t>
            </w:r>
            <w:r w:rsidRPr="000E065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</w:t>
            </w:r>
            <w:r w:rsidRPr="000E065C">
              <w:rPr>
                <w:rFonts w:asciiTheme="majorBidi" w:hAnsiTheme="majorBidi" w:cstheme="majorBidi"/>
                <w:sz w:val="20"/>
                <w:szCs w:val="20"/>
              </w:rPr>
              <w:t>mean ± 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E</w:t>
            </w:r>
            <w:r w:rsidRPr="000E065C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445" w:type="dxa"/>
          </w:tcPr>
          <w:p w14:paraId="7A7C412C" w14:textId="77777777" w:rsidR="00CF7308" w:rsidRPr="00CE2A91" w:rsidRDefault="00CF7308" w:rsidP="00D857C6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60.8</w:t>
            </w:r>
            <w:r w:rsidRPr="000E065C">
              <w:rPr>
                <w:rFonts w:asciiTheme="majorBidi" w:hAnsiTheme="majorBidi" w:cstheme="majorBidi"/>
                <w:sz w:val="20"/>
                <w:szCs w:val="20"/>
              </w:rPr>
              <w:t>±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4.3</w:t>
            </w:r>
          </w:p>
        </w:tc>
        <w:tc>
          <w:tcPr>
            <w:tcW w:w="1418" w:type="dxa"/>
          </w:tcPr>
          <w:p w14:paraId="0BDD3078" w14:textId="77777777" w:rsidR="00CF7308" w:rsidRPr="00CE2A91" w:rsidRDefault="00CF7308" w:rsidP="00D857C6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62.8</w:t>
            </w:r>
            <w:r w:rsidRPr="000E065C">
              <w:rPr>
                <w:rFonts w:asciiTheme="majorBidi" w:hAnsiTheme="majorBidi" w:cstheme="majorBidi"/>
                <w:sz w:val="20"/>
                <w:szCs w:val="20"/>
              </w:rPr>
              <w:t>±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5.4</w:t>
            </w:r>
          </w:p>
        </w:tc>
        <w:tc>
          <w:tcPr>
            <w:tcW w:w="1346" w:type="dxa"/>
          </w:tcPr>
          <w:p w14:paraId="3F992C42" w14:textId="77777777" w:rsidR="00CF7308" w:rsidRPr="00CE2A91" w:rsidRDefault="00CF7308" w:rsidP="00D857C6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61.86</w:t>
            </w:r>
            <w:r w:rsidRPr="000E065C">
              <w:rPr>
                <w:rFonts w:asciiTheme="majorBidi" w:hAnsiTheme="majorBidi" w:cstheme="majorBidi"/>
                <w:sz w:val="20"/>
                <w:szCs w:val="20"/>
              </w:rPr>
              <w:t>±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4.2</w:t>
            </w:r>
          </w:p>
        </w:tc>
        <w:tc>
          <w:tcPr>
            <w:tcW w:w="1333" w:type="dxa"/>
          </w:tcPr>
          <w:p w14:paraId="7243B072" w14:textId="77777777" w:rsidR="00CF7308" w:rsidRPr="00CE2A91" w:rsidRDefault="00CF7308" w:rsidP="00D857C6">
            <w:pPr>
              <w:jc w:val="center"/>
              <w:rPr>
                <w:rFonts w:asciiTheme="majorBidi" w:hAnsiTheme="majorBidi" w:cstheme="majorBid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23"/>
                <w:szCs w:val="23"/>
                <w:shd w:val="clear" w:color="auto" w:fill="FFFFFF"/>
              </w:rPr>
              <w:t>62.533</w:t>
            </w:r>
            <w:r w:rsidRPr="000E065C">
              <w:rPr>
                <w:rFonts w:asciiTheme="majorBidi" w:hAnsiTheme="majorBidi" w:cstheme="majorBidi"/>
                <w:sz w:val="20"/>
                <w:szCs w:val="20"/>
              </w:rPr>
              <w:t>±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5.3</w:t>
            </w:r>
          </w:p>
        </w:tc>
        <w:tc>
          <w:tcPr>
            <w:tcW w:w="1516" w:type="dxa"/>
          </w:tcPr>
          <w:p w14:paraId="29D508C4" w14:textId="77777777" w:rsidR="00CF7308" w:rsidRPr="000E065C" w:rsidRDefault="00CF7308" w:rsidP="00D857C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0.9887</w:t>
            </w:r>
          </w:p>
        </w:tc>
      </w:tr>
      <w:tr w:rsidR="00CF7308" w14:paraId="1375B91E" w14:textId="77777777" w:rsidTr="00D857C6">
        <w:trPr>
          <w:trHeight w:val="149"/>
        </w:trPr>
        <w:tc>
          <w:tcPr>
            <w:tcW w:w="1279" w:type="dxa"/>
            <w:vMerge w:val="restart"/>
          </w:tcPr>
          <w:p w14:paraId="51ADDB35" w14:textId="22B36F36" w:rsidR="00CF7308" w:rsidRPr="000E065C" w:rsidRDefault="00AF32B1" w:rsidP="00D857C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Gender</w:t>
            </w:r>
          </w:p>
        </w:tc>
        <w:tc>
          <w:tcPr>
            <w:tcW w:w="673" w:type="dxa"/>
          </w:tcPr>
          <w:p w14:paraId="15BF5A19" w14:textId="7FD6D771" w:rsidR="00CF7308" w:rsidRPr="000E065C" w:rsidRDefault="00CF7308" w:rsidP="00D857C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E065C">
              <w:rPr>
                <w:rFonts w:asciiTheme="majorBidi" w:hAnsiTheme="majorBidi" w:cstheme="majorBidi"/>
                <w:b/>
                <w:bCs/>
              </w:rPr>
              <w:t>M</w:t>
            </w:r>
            <w:r w:rsidR="00915F35">
              <w:rPr>
                <w:rFonts w:asciiTheme="majorBidi" w:hAnsiTheme="majorBidi" w:cstheme="majorBidi"/>
                <w:b/>
                <w:bCs/>
              </w:rPr>
              <w:t>ale</w:t>
            </w:r>
          </w:p>
        </w:tc>
        <w:tc>
          <w:tcPr>
            <w:tcW w:w="1445" w:type="dxa"/>
          </w:tcPr>
          <w:p w14:paraId="68F01C63" w14:textId="77777777" w:rsidR="00CF7308" w:rsidRPr="000E065C" w:rsidRDefault="00CF7308" w:rsidP="00D857C6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6/15 (40%)</w:t>
            </w:r>
          </w:p>
        </w:tc>
        <w:tc>
          <w:tcPr>
            <w:tcW w:w="1418" w:type="dxa"/>
          </w:tcPr>
          <w:p w14:paraId="5E7E01B7" w14:textId="77777777" w:rsidR="00CF7308" w:rsidRDefault="00CF7308" w:rsidP="00D857C6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8/15 (53.33%)</w:t>
            </w:r>
          </w:p>
        </w:tc>
        <w:tc>
          <w:tcPr>
            <w:tcW w:w="1346" w:type="dxa"/>
          </w:tcPr>
          <w:p w14:paraId="2314BE12" w14:textId="77777777" w:rsidR="00CF7308" w:rsidRPr="000E065C" w:rsidRDefault="00CF7308" w:rsidP="00D857C6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7/15 (46.67%)</w:t>
            </w:r>
          </w:p>
        </w:tc>
        <w:tc>
          <w:tcPr>
            <w:tcW w:w="1333" w:type="dxa"/>
          </w:tcPr>
          <w:p w14:paraId="6DCC844A" w14:textId="77777777" w:rsidR="00CF7308" w:rsidRDefault="00CF7308" w:rsidP="00D857C6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8/15</w:t>
            </w:r>
          </w:p>
          <w:p w14:paraId="59FBFD39" w14:textId="77777777" w:rsidR="00CF7308" w:rsidRPr="000E065C" w:rsidRDefault="00CF7308" w:rsidP="00D857C6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(53.33%)</w:t>
            </w:r>
          </w:p>
        </w:tc>
        <w:tc>
          <w:tcPr>
            <w:tcW w:w="1516" w:type="dxa"/>
          </w:tcPr>
          <w:p w14:paraId="332E54BE" w14:textId="77777777" w:rsidR="00CF7308" w:rsidRPr="000E065C" w:rsidRDefault="00CF7308" w:rsidP="00D857C6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CF7308" w14:paraId="0ECD4C14" w14:textId="77777777" w:rsidTr="00D857C6">
        <w:trPr>
          <w:trHeight w:val="158"/>
        </w:trPr>
        <w:tc>
          <w:tcPr>
            <w:tcW w:w="1279" w:type="dxa"/>
            <w:vMerge/>
          </w:tcPr>
          <w:p w14:paraId="264B814D" w14:textId="77777777" w:rsidR="00CF7308" w:rsidRPr="000E065C" w:rsidRDefault="00CF7308" w:rsidP="00D857C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73" w:type="dxa"/>
          </w:tcPr>
          <w:p w14:paraId="39AC32CD" w14:textId="5CFD4604" w:rsidR="00CF7308" w:rsidRPr="000E065C" w:rsidRDefault="00CF7308" w:rsidP="00D857C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E065C">
              <w:rPr>
                <w:rFonts w:asciiTheme="majorBidi" w:hAnsiTheme="majorBidi" w:cstheme="majorBidi"/>
                <w:b/>
                <w:bCs/>
              </w:rPr>
              <w:t>F</w:t>
            </w:r>
            <w:r w:rsidR="00915F35">
              <w:rPr>
                <w:rFonts w:asciiTheme="majorBidi" w:hAnsiTheme="majorBidi" w:cstheme="majorBidi"/>
                <w:b/>
                <w:bCs/>
              </w:rPr>
              <w:t>emale</w:t>
            </w:r>
          </w:p>
        </w:tc>
        <w:tc>
          <w:tcPr>
            <w:tcW w:w="1445" w:type="dxa"/>
          </w:tcPr>
          <w:p w14:paraId="1E25B56C" w14:textId="77777777" w:rsidR="00CF7308" w:rsidRDefault="00CF7308" w:rsidP="00D857C6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9/15</w:t>
            </w:r>
          </w:p>
          <w:p w14:paraId="27ADA6A2" w14:textId="77777777" w:rsidR="00CF7308" w:rsidRPr="000E065C" w:rsidRDefault="00CF7308" w:rsidP="00D857C6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(60%)</w:t>
            </w:r>
          </w:p>
        </w:tc>
        <w:tc>
          <w:tcPr>
            <w:tcW w:w="1418" w:type="dxa"/>
          </w:tcPr>
          <w:p w14:paraId="4BDE69BF" w14:textId="77777777" w:rsidR="00CF7308" w:rsidRDefault="00CF7308" w:rsidP="00D857C6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7/15</w:t>
            </w:r>
          </w:p>
          <w:p w14:paraId="2E8B9682" w14:textId="77777777" w:rsidR="00CF7308" w:rsidRDefault="00CF7308" w:rsidP="00D857C6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(46.67%)</w:t>
            </w:r>
          </w:p>
        </w:tc>
        <w:tc>
          <w:tcPr>
            <w:tcW w:w="1346" w:type="dxa"/>
          </w:tcPr>
          <w:p w14:paraId="3C19D610" w14:textId="77777777" w:rsidR="00CF7308" w:rsidRDefault="00CF7308" w:rsidP="00D857C6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8/15</w:t>
            </w:r>
          </w:p>
          <w:p w14:paraId="4635FFAD" w14:textId="77777777" w:rsidR="00CF7308" w:rsidRPr="000E065C" w:rsidRDefault="00CF7308" w:rsidP="00D857C6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(53.33%)</w:t>
            </w:r>
          </w:p>
        </w:tc>
        <w:tc>
          <w:tcPr>
            <w:tcW w:w="1333" w:type="dxa"/>
          </w:tcPr>
          <w:p w14:paraId="209E5DDA" w14:textId="77777777" w:rsidR="00CF7308" w:rsidRDefault="00CF7308" w:rsidP="00D857C6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7/15</w:t>
            </w:r>
          </w:p>
          <w:p w14:paraId="76832B0A" w14:textId="77777777" w:rsidR="00CF7308" w:rsidRPr="000E065C" w:rsidRDefault="00CF7308" w:rsidP="00D857C6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(46.67%)</w:t>
            </w:r>
          </w:p>
        </w:tc>
        <w:tc>
          <w:tcPr>
            <w:tcW w:w="1516" w:type="dxa"/>
          </w:tcPr>
          <w:p w14:paraId="21171D57" w14:textId="77777777" w:rsidR="00CF7308" w:rsidRPr="000E065C" w:rsidRDefault="00CF7308" w:rsidP="00D857C6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CF7308" w14:paraId="3E00A25D" w14:textId="77777777" w:rsidTr="00D857C6">
        <w:trPr>
          <w:trHeight w:val="167"/>
        </w:trPr>
        <w:tc>
          <w:tcPr>
            <w:tcW w:w="1279" w:type="dxa"/>
            <w:vMerge w:val="restart"/>
          </w:tcPr>
          <w:p w14:paraId="74EC5AF4" w14:textId="45D95AF2" w:rsidR="00CF7308" w:rsidRPr="000E065C" w:rsidRDefault="008A305D" w:rsidP="00D857C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Eye</w:t>
            </w:r>
          </w:p>
        </w:tc>
        <w:tc>
          <w:tcPr>
            <w:tcW w:w="673" w:type="dxa"/>
          </w:tcPr>
          <w:p w14:paraId="2A6A2B9E" w14:textId="516ADA7E" w:rsidR="00CF7308" w:rsidRPr="000E065C" w:rsidRDefault="00CF7308" w:rsidP="00D857C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E065C">
              <w:rPr>
                <w:rFonts w:asciiTheme="majorBidi" w:hAnsiTheme="majorBidi" w:cstheme="majorBidi"/>
                <w:b/>
                <w:bCs/>
              </w:rPr>
              <w:t>R</w:t>
            </w:r>
          </w:p>
        </w:tc>
        <w:tc>
          <w:tcPr>
            <w:tcW w:w="1445" w:type="dxa"/>
          </w:tcPr>
          <w:p w14:paraId="4618124E" w14:textId="77777777" w:rsidR="00CF7308" w:rsidRPr="000E065C" w:rsidRDefault="00CF7308" w:rsidP="00D857C6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8/15</w:t>
            </w:r>
          </w:p>
        </w:tc>
        <w:tc>
          <w:tcPr>
            <w:tcW w:w="1418" w:type="dxa"/>
          </w:tcPr>
          <w:p w14:paraId="2483263C" w14:textId="77777777" w:rsidR="00CF7308" w:rsidRDefault="00CF7308" w:rsidP="00D857C6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7/15</w:t>
            </w:r>
          </w:p>
        </w:tc>
        <w:tc>
          <w:tcPr>
            <w:tcW w:w="1346" w:type="dxa"/>
          </w:tcPr>
          <w:p w14:paraId="565E94DA" w14:textId="77777777" w:rsidR="00CF7308" w:rsidRPr="000E065C" w:rsidRDefault="00CF7308" w:rsidP="00D857C6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9/15</w:t>
            </w:r>
          </w:p>
        </w:tc>
        <w:tc>
          <w:tcPr>
            <w:tcW w:w="1333" w:type="dxa"/>
          </w:tcPr>
          <w:p w14:paraId="05814CDC" w14:textId="77777777" w:rsidR="00CF7308" w:rsidRPr="000E065C" w:rsidRDefault="00CF7308" w:rsidP="00D857C6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10/15</w:t>
            </w:r>
          </w:p>
        </w:tc>
        <w:tc>
          <w:tcPr>
            <w:tcW w:w="1516" w:type="dxa"/>
          </w:tcPr>
          <w:p w14:paraId="4C6E4958" w14:textId="77777777" w:rsidR="00CF7308" w:rsidRPr="000E065C" w:rsidRDefault="00CF7308" w:rsidP="00D857C6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CF7308" w14:paraId="79315D35" w14:textId="77777777" w:rsidTr="00D857C6">
        <w:trPr>
          <w:trHeight w:val="149"/>
        </w:trPr>
        <w:tc>
          <w:tcPr>
            <w:tcW w:w="1279" w:type="dxa"/>
            <w:vMerge/>
          </w:tcPr>
          <w:p w14:paraId="3961AB1E" w14:textId="77777777" w:rsidR="00CF7308" w:rsidRPr="000E065C" w:rsidRDefault="00CF7308" w:rsidP="00D857C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73" w:type="dxa"/>
          </w:tcPr>
          <w:p w14:paraId="72EE75DD" w14:textId="0B4D07EA" w:rsidR="00CF7308" w:rsidRPr="000E065C" w:rsidRDefault="00CF7308" w:rsidP="00D857C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E065C">
              <w:rPr>
                <w:rFonts w:asciiTheme="majorBidi" w:hAnsiTheme="majorBidi" w:cstheme="majorBidi"/>
                <w:b/>
                <w:bCs/>
              </w:rPr>
              <w:t>L</w:t>
            </w:r>
          </w:p>
        </w:tc>
        <w:tc>
          <w:tcPr>
            <w:tcW w:w="1445" w:type="dxa"/>
          </w:tcPr>
          <w:p w14:paraId="412C8291" w14:textId="77777777" w:rsidR="00CF7308" w:rsidRPr="000E065C" w:rsidRDefault="00CF7308" w:rsidP="00D857C6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7/15</w:t>
            </w:r>
          </w:p>
        </w:tc>
        <w:tc>
          <w:tcPr>
            <w:tcW w:w="1418" w:type="dxa"/>
          </w:tcPr>
          <w:p w14:paraId="6399C213" w14:textId="77777777" w:rsidR="00CF7308" w:rsidRDefault="00CF7308" w:rsidP="00D857C6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8/15</w:t>
            </w:r>
          </w:p>
        </w:tc>
        <w:tc>
          <w:tcPr>
            <w:tcW w:w="1346" w:type="dxa"/>
          </w:tcPr>
          <w:p w14:paraId="1CB74518" w14:textId="77777777" w:rsidR="00CF7308" w:rsidRPr="000E065C" w:rsidRDefault="00CF7308" w:rsidP="00D857C6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6/15</w:t>
            </w:r>
          </w:p>
        </w:tc>
        <w:tc>
          <w:tcPr>
            <w:tcW w:w="1333" w:type="dxa"/>
          </w:tcPr>
          <w:p w14:paraId="3DE27CAA" w14:textId="77777777" w:rsidR="00CF7308" w:rsidRPr="000E065C" w:rsidRDefault="00CF7308" w:rsidP="00D857C6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5/15</w:t>
            </w:r>
          </w:p>
        </w:tc>
        <w:tc>
          <w:tcPr>
            <w:tcW w:w="1516" w:type="dxa"/>
          </w:tcPr>
          <w:p w14:paraId="34D56285" w14:textId="77777777" w:rsidR="00CF7308" w:rsidRPr="000E065C" w:rsidRDefault="00CF7308" w:rsidP="00D857C6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</w:tbl>
    <w:p w14:paraId="75D1B2BC" w14:textId="37E7881D" w:rsidR="00CF7308" w:rsidRDefault="00CF7308" w:rsidP="00CF7308">
      <w:pPr>
        <w:spacing w:line="276" w:lineRule="auto"/>
        <w:ind w:firstLine="567"/>
        <w:jc w:val="center"/>
      </w:pPr>
      <w:r w:rsidRPr="00FF70AE">
        <w:rPr>
          <w:b/>
          <w:bCs/>
        </w:rPr>
        <w:t>Table (1):</w:t>
      </w:r>
      <w:r>
        <w:t xml:space="preserve"> Demographic criteria of the </w:t>
      </w:r>
      <w:r w:rsidR="00456B7C">
        <w:t>four</w:t>
      </w:r>
      <w:r>
        <w:t xml:space="preserve"> groups</w:t>
      </w:r>
    </w:p>
    <w:p w14:paraId="08C2D980" w14:textId="7C1DA14B" w:rsidR="00CF7308" w:rsidRPr="006A5CE2" w:rsidRDefault="008A305D" w:rsidP="00CF7308">
      <w:pPr>
        <w:spacing w:line="276" w:lineRule="auto"/>
        <w:ind w:firstLine="567"/>
        <w:jc w:val="center"/>
        <w:rPr>
          <w:sz w:val="20"/>
          <w:szCs w:val="20"/>
        </w:rPr>
      </w:pPr>
      <w:r w:rsidRPr="00594B01">
        <w:rPr>
          <w:b/>
          <w:bCs/>
          <w:sz w:val="20"/>
          <w:szCs w:val="20"/>
        </w:rPr>
        <w:t>S</w:t>
      </w:r>
      <w:r>
        <w:rPr>
          <w:b/>
          <w:bCs/>
          <w:sz w:val="20"/>
          <w:szCs w:val="20"/>
        </w:rPr>
        <w:t>E</w:t>
      </w:r>
      <w:r w:rsidRPr="00594B01">
        <w:rPr>
          <w:sz w:val="20"/>
          <w:szCs w:val="20"/>
        </w:rPr>
        <w:t xml:space="preserve">: standard </w:t>
      </w:r>
      <w:r>
        <w:rPr>
          <w:sz w:val="20"/>
          <w:szCs w:val="20"/>
        </w:rPr>
        <w:t>error,</w:t>
      </w:r>
      <w:r w:rsidRPr="00594B01">
        <w:rPr>
          <w:b/>
          <w:bCs/>
          <w:sz w:val="20"/>
          <w:szCs w:val="20"/>
        </w:rPr>
        <w:t xml:space="preserve"> </w:t>
      </w:r>
      <w:r w:rsidR="00CF7308" w:rsidRPr="00594B01">
        <w:rPr>
          <w:b/>
          <w:bCs/>
          <w:sz w:val="20"/>
          <w:szCs w:val="20"/>
        </w:rPr>
        <w:t>R</w:t>
      </w:r>
      <w:r w:rsidR="00CF7308" w:rsidRPr="00594B01">
        <w:rPr>
          <w:sz w:val="20"/>
          <w:szCs w:val="20"/>
        </w:rPr>
        <w:t xml:space="preserve">: right eye, </w:t>
      </w:r>
      <w:r w:rsidR="00CF7308" w:rsidRPr="00594B01">
        <w:rPr>
          <w:b/>
          <w:bCs/>
          <w:sz w:val="20"/>
          <w:szCs w:val="20"/>
        </w:rPr>
        <w:t>L</w:t>
      </w:r>
      <w:r w:rsidR="00CF7308" w:rsidRPr="00594B01">
        <w:rPr>
          <w:sz w:val="20"/>
          <w:szCs w:val="20"/>
        </w:rPr>
        <w:t>: left eye</w:t>
      </w:r>
    </w:p>
    <w:p w14:paraId="361EB913" w14:textId="77777777" w:rsidR="00CF7308" w:rsidRDefault="00CF7308" w:rsidP="00CF7308"/>
    <w:p w14:paraId="53AEE2DF" w14:textId="77777777" w:rsidR="00CF7308" w:rsidRDefault="00CF7308" w:rsidP="00CF73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CF7308" w14:paraId="27A50AFC" w14:textId="77777777" w:rsidTr="00D857C6">
        <w:tc>
          <w:tcPr>
            <w:tcW w:w="2252" w:type="dxa"/>
          </w:tcPr>
          <w:p w14:paraId="77425E19" w14:textId="77777777" w:rsidR="00CF7308" w:rsidRDefault="00CF7308" w:rsidP="00D857C6">
            <w:pPr>
              <w:spacing w:line="276" w:lineRule="auto"/>
              <w:jc w:val="center"/>
            </w:pPr>
          </w:p>
        </w:tc>
        <w:tc>
          <w:tcPr>
            <w:tcW w:w="2252" w:type="dxa"/>
          </w:tcPr>
          <w:p w14:paraId="4820E429" w14:textId="4779071F" w:rsidR="00CF7308" w:rsidRDefault="00CF7308" w:rsidP="00D857C6">
            <w:pPr>
              <w:spacing w:line="276" w:lineRule="auto"/>
              <w:jc w:val="center"/>
            </w:pPr>
            <w:r>
              <w:rPr>
                <w:b/>
                <w:bCs/>
              </w:rPr>
              <w:t xml:space="preserve">Group </w:t>
            </w:r>
            <w:proofErr w:type="spellStart"/>
            <w:r>
              <w:rPr>
                <w:b/>
                <w:bCs/>
              </w:rPr>
              <w:t>P</w:t>
            </w:r>
            <w:r w:rsidR="000F4C05">
              <w:rPr>
                <w:b/>
                <w:bCs/>
              </w:rPr>
              <w:t>hM</w:t>
            </w:r>
            <w:proofErr w:type="spellEnd"/>
          </w:p>
        </w:tc>
        <w:tc>
          <w:tcPr>
            <w:tcW w:w="2253" w:type="dxa"/>
          </w:tcPr>
          <w:p w14:paraId="30DDD522" w14:textId="12B93923" w:rsidR="00CF7308" w:rsidRPr="00BF2C28" w:rsidRDefault="00CF7308" w:rsidP="00D857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Group </w:t>
            </w:r>
            <w:proofErr w:type="spellStart"/>
            <w:r>
              <w:rPr>
                <w:b/>
                <w:bCs/>
              </w:rPr>
              <w:t>P</w:t>
            </w:r>
            <w:r w:rsidR="000F4C05">
              <w:rPr>
                <w:b/>
                <w:bCs/>
              </w:rPr>
              <w:t>h</w:t>
            </w:r>
            <w:r>
              <w:rPr>
                <w:b/>
                <w:bCs/>
              </w:rPr>
              <w:t>G</w:t>
            </w:r>
            <w:r w:rsidR="000F4C05">
              <w:rPr>
                <w:b/>
                <w:bCs/>
              </w:rPr>
              <w:t>M</w:t>
            </w:r>
            <w:proofErr w:type="spellEnd"/>
          </w:p>
        </w:tc>
        <w:tc>
          <w:tcPr>
            <w:tcW w:w="2253" w:type="dxa"/>
          </w:tcPr>
          <w:p w14:paraId="494643D4" w14:textId="77777777" w:rsidR="00CF7308" w:rsidRDefault="00CF7308" w:rsidP="00D857C6">
            <w:pPr>
              <w:spacing w:line="276" w:lineRule="auto"/>
              <w:jc w:val="center"/>
            </w:pPr>
            <w:r>
              <w:rPr>
                <w:b/>
                <w:bCs/>
              </w:rPr>
              <w:t>P-value</w:t>
            </w:r>
          </w:p>
        </w:tc>
      </w:tr>
      <w:tr w:rsidR="00CF7308" w14:paraId="2DDAC474" w14:textId="77777777" w:rsidTr="00D857C6">
        <w:tc>
          <w:tcPr>
            <w:tcW w:w="2252" w:type="dxa"/>
          </w:tcPr>
          <w:p w14:paraId="01A33FC4" w14:textId="77777777" w:rsidR="00CF7308" w:rsidRDefault="00CF7308" w:rsidP="00D857C6">
            <w:pPr>
              <w:spacing w:line="276" w:lineRule="auto"/>
              <w:jc w:val="center"/>
            </w:pPr>
            <w:r>
              <w:rPr>
                <w:b/>
                <w:bCs/>
              </w:rPr>
              <w:t>Preoperative</w:t>
            </w:r>
            <w:r w:rsidRPr="00802374">
              <w:rPr>
                <w:b/>
                <w:bCs/>
              </w:rPr>
              <w:t xml:space="preserve"> non medicated IOP </w:t>
            </w:r>
            <w:r w:rsidRPr="008023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(mean ± 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</w:t>
            </w:r>
            <w:r w:rsidRPr="008023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14:paraId="6ED1E9FD" w14:textId="77777777" w:rsidR="00CF7308" w:rsidRPr="00CE2A91" w:rsidRDefault="00CF7308" w:rsidP="00D857C6">
            <w:pPr>
              <w:spacing w:line="276" w:lineRule="auto"/>
              <w:jc w:val="center"/>
            </w:pPr>
            <w:r>
              <w:t>33</w:t>
            </w:r>
            <w:r w:rsidRPr="000E065C">
              <w:rPr>
                <w:rFonts w:asciiTheme="majorBidi" w:hAnsiTheme="majorBidi" w:cstheme="majorBidi"/>
                <w:sz w:val="20"/>
                <w:szCs w:val="20"/>
              </w:rPr>
              <w:t>±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1.9</w:t>
            </w:r>
          </w:p>
        </w:tc>
        <w:tc>
          <w:tcPr>
            <w:tcW w:w="2253" w:type="dxa"/>
          </w:tcPr>
          <w:p w14:paraId="060A7A10" w14:textId="77777777" w:rsidR="00CF7308" w:rsidRPr="00CE2A91" w:rsidRDefault="00CF7308" w:rsidP="00D857C6">
            <w:pPr>
              <w:spacing w:line="276" w:lineRule="auto"/>
              <w:jc w:val="center"/>
            </w:pPr>
            <w:r>
              <w:t>31</w:t>
            </w:r>
            <w:r w:rsidRPr="000E065C">
              <w:rPr>
                <w:rFonts w:asciiTheme="majorBidi" w:hAnsiTheme="majorBidi" w:cstheme="majorBidi"/>
                <w:sz w:val="20"/>
                <w:szCs w:val="20"/>
              </w:rPr>
              <w:t>±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0.9</w:t>
            </w:r>
          </w:p>
        </w:tc>
        <w:tc>
          <w:tcPr>
            <w:tcW w:w="2253" w:type="dxa"/>
          </w:tcPr>
          <w:p w14:paraId="5AF96D16" w14:textId="77777777" w:rsidR="00CF7308" w:rsidRDefault="00CF7308" w:rsidP="00D857C6">
            <w:pPr>
              <w:spacing w:line="276" w:lineRule="auto"/>
              <w:jc w:val="center"/>
            </w:pPr>
            <w:r>
              <w:t>0.3496</w:t>
            </w:r>
          </w:p>
        </w:tc>
      </w:tr>
      <w:tr w:rsidR="00CF7308" w14:paraId="74BEA62D" w14:textId="77777777" w:rsidTr="00D857C6">
        <w:tc>
          <w:tcPr>
            <w:tcW w:w="2252" w:type="dxa"/>
          </w:tcPr>
          <w:p w14:paraId="3CAF595A" w14:textId="77777777" w:rsidR="00CF7308" w:rsidRDefault="00CF7308" w:rsidP="00D857C6">
            <w:pPr>
              <w:spacing w:line="276" w:lineRule="auto"/>
              <w:jc w:val="center"/>
            </w:pPr>
            <w:r>
              <w:rPr>
                <w:b/>
                <w:bCs/>
              </w:rPr>
              <w:t>Preoperative</w:t>
            </w:r>
            <w:r w:rsidRPr="00BF2C28">
              <w:rPr>
                <w:b/>
                <w:bCs/>
              </w:rPr>
              <w:t xml:space="preserve"> medicated </w:t>
            </w:r>
            <w:r w:rsidRPr="00802374">
              <w:rPr>
                <w:b/>
                <w:bCs/>
              </w:rPr>
              <w:t xml:space="preserve">IOP </w:t>
            </w:r>
            <w:r w:rsidRPr="008023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(mean ± 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</w:t>
            </w:r>
            <w:r w:rsidRPr="008023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14:paraId="2E03A8EA" w14:textId="77777777" w:rsidR="00CF7308" w:rsidRPr="00CE2A91" w:rsidRDefault="00CF7308" w:rsidP="00D857C6">
            <w:pPr>
              <w:spacing w:line="276" w:lineRule="auto"/>
              <w:jc w:val="center"/>
            </w:pPr>
            <w:r>
              <w:t>14.66</w:t>
            </w:r>
            <w:r w:rsidRPr="000E065C">
              <w:rPr>
                <w:rFonts w:asciiTheme="majorBidi" w:hAnsiTheme="majorBidi" w:cstheme="majorBidi"/>
                <w:sz w:val="20"/>
                <w:szCs w:val="20"/>
              </w:rPr>
              <w:t>±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253" w:type="dxa"/>
          </w:tcPr>
          <w:p w14:paraId="5D73DCF7" w14:textId="77777777" w:rsidR="00CF7308" w:rsidRPr="003A70EA" w:rsidRDefault="00CF7308" w:rsidP="00D857C6">
            <w:pPr>
              <w:spacing w:line="276" w:lineRule="auto"/>
              <w:jc w:val="center"/>
            </w:pPr>
            <w:r>
              <w:t>13.5</w:t>
            </w:r>
            <w:r w:rsidRPr="000E065C">
              <w:rPr>
                <w:rFonts w:asciiTheme="majorBidi" w:hAnsiTheme="majorBidi" w:cstheme="majorBidi"/>
                <w:sz w:val="20"/>
                <w:szCs w:val="20"/>
              </w:rPr>
              <w:t>±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0.9</w:t>
            </w:r>
          </w:p>
        </w:tc>
        <w:tc>
          <w:tcPr>
            <w:tcW w:w="2253" w:type="dxa"/>
          </w:tcPr>
          <w:p w14:paraId="40F0E644" w14:textId="77777777" w:rsidR="00CF7308" w:rsidRDefault="00CF7308" w:rsidP="00D857C6">
            <w:pPr>
              <w:spacing w:line="276" w:lineRule="auto"/>
              <w:jc w:val="center"/>
            </w:pPr>
            <w:r>
              <w:t>0.3959</w:t>
            </w:r>
          </w:p>
        </w:tc>
      </w:tr>
      <w:tr w:rsidR="00CF7308" w14:paraId="5C02D2A9" w14:textId="77777777" w:rsidTr="00D857C6">
        <w:tc>
          <w:tcPr>
            <w:tcW w:w="2252" w:type="dxa"/>
          </w:tcPr>
          <w:p w14:paraId="50FA06A1" w14:textId="09486EA9" w:rsidR="00CF7308" w:rsidRDefault="00CF7308" w:rsidP="00D857C6">
            <w:pPr>
              <w:spacing w:line="276" w:lineRule="auto"/>
              <w:jc w:val="center"/>
            </w:pPr>
            <w:r>
              <w:rPr>
                <w:b/>
                <w:bCs/>
              </w:rPr>
              <w:t xml:space="preserve">Preoperative </w:t>
            </w:r>
            <w:r w:rsidRPr="00802374">
              <w:rPr>
                <w:b/>
                <w:bCs/>
              </w:rPr>
              <w:t xml:space="preserve">Number of IOP lowering </w:t>
            </w:r>
            <w:r w:rsidR="008A305D">
              <w:rPr>
                <w:b/>
                <w:bCs/>
              </w:rPr>
              <w:t>medications</w:t>
            </w:r>
            <w:r w:rsidRPr="00802374">
              <w:rPr>
                <w:b/>
                <w:bCs/>
              </w:rPr>
              <w:t xml:space="preserve"> </w:t>
            </w:r>
            <w:r w:rsidRPr="008023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(mean ± 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</w:t>
            </w:r>
            <w:r w:rsidRPr="008023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14:paraId="22DD391D" w14:textId="77777777" w:rsidR="00CF7308" w:rsidRDefault="00CF7308" w:rsidP="00D857C6">
            <w:pPr>
              <w:spacing w:line="276" w:lineRule="auto"/>
              <w:jc w:val="center"/>
            </w:pPr>
            <w:r>
              <w:t>3</w:t>
            </w:r>
            <w:r w:rsidRPr="000E065C">
              <w:rPr>
                <w:rFonts w:asciiTheme="majorBidi" w:hAnsiTheme="majorBidi" w:cstheme="majorBidi"/>
                <w:sz w:val="20"/>
                <w:szCs w:val="20"/>
              </w:rPr>
              <w:t>±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0.09</w:t>
            </w:r>
          </w:p>
        </w:tc>
        <w:tc>
          <w:tcPr>
            <w:tcW w:w="2253" w:type="dxa"/>
          </w:tcPr>
          <w:p w14:paraId="1BE4D339" w14:textId="77777777" w:rsidR="00CF7308" w:rsidRDefault="00CF7308" w:rsidP="00D857C6">
            <w:pPr>
              <w:spacing w:line="276" w:lineRule="auto"/>
              <w:jc w:val="center"/>
            </w:pPr>
            <w:r>
              <w:t>3</w:t>
            </w:r>
            <w:r w:rsidRPr="000E065C">
              <w:rPr>
                <w:rFonts w:asciiTheme="majorBidi" w:hAnsiTheme="majorBidi" w:cstheme="majorBidi"/>
                <w:sz w:val="20"/>
                <w:szCs w:val="20"/>
              </w:rPr>
              <w:t>±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0.07</w:t>
            </w:r>
          </w:p>
        </w:tc>
        <w:tc>
          <w:tcPr>
            <w:tcW w:w="2253" w:type="dxa"/>
          </w:tcPr>
          <w:p w14:paraId="3487E256" w14:textId="77777777" w:rsidR="00CF7308" w:rsidRDefault="00CF7308" w:rsidP="00D857C6">
            <w:pPr>
              <w:spacing w:line="276" w:lineRule="auto"/>
              <w:jc w:val="center"/>
            </w:pPr>
            <w:r>
              <w:t>0.1032</w:t>
            </w:r>
          </w:p>
        </w:tc>
      </w:tr>
    </w:tbl>
    <w:p w14:paraId="735879EE" w14:textId="697F65DE" w:rsidR="00CF7308" w:rsidRDefault="00CF7308" w:rsidP="00CF7308">
      <w:pPr>
        <w:spacing w:line="276" w:lineRule="auto"/>
        <w:ind w:firstLine="567"/>
        <w:jc w:val="center"/>
      </w:pPr>
      <w:r w:rsidRPr="00FF70AE">
        <w:rPr>
          <w:b/>
          <w:bCs/>
        </w:rPr>
        <w:t>Table (</w:t>
      </w:r>
      <w:r>
        <w:rPr>
          <w:b/>
          <w:bCs/>
        </w:rPr>
        <w:t>2</w:t>
      </w:r>
      <w:r w:rsidRPr="00FF70AE">
        <w:rPr>
          <w:b/>
          <w:bCs/>
        </w:rPr>
        <w:t>):</w:t>
      </w:r>
      <w:r>
        <w:t xml:space="preserve"> </w:t>
      </w:r>
      <w:r w:rsidR="00915F35">
        <w:t xml:space="preserve">Preoperative </w:t>
      </w:r>
      <w:r w:rsidR="002360EA">
        <w:t xml:space="preserve">medicated and non-medicated </w:t>
      </w:r>
      <w:r>
        <w:t xml:space="preserve">IOP and number of IOP lowering </w:t>
      </w:r>
      <w:r w:rsidR="008A305D">
        <w:t>medications</w:t>
      </w:r>
      <w:r>
        <w:t xml:space="preserve"> in </w:t>
      </w:r>
      <w:proofErr w:type="spellStart"/>
      <w:r>
        <w:t>P</w:t>
      </w:r>
      <w:r w:rsidR="008A305D">
        <w:t>hM</w:t>
      </w:r>
      <w:proofErr w:type="spellEnd"/>
      <w:r>
        <w:t xml:space="preserve"> and </w:t>
      </w:r>
      <w:proofErr w:type="spellStart"/>
      <w:r>
        <w:t>P</w:t>
      </w:r>
      <w:r w:rsidR="008A305D">
        <w:t>h</w:t>
      </w:r>
      <w:r>
        <w:t>G</w:t>
      </w:r>
      <w:r w:rsidR="008A305D">
        <w:t>M</w:t>
      </w:r>
      <w:proofErr w:type="spellEnd"/>
      <w:r w:rsidR="0053527D">
        <w:t xml:space="preserve"> groups</w:t>
      </w:r>
    </w:p>
    <w:p w14:paraId="244A85D1" w14:textId="77777777" w:rsidR="00CF7308" w:rsidRDefault="00CF7308" w:rsidP="00CF7308"/>
    <w:p w14:paraId="59FC5B32" w14:textId="77777777" w:rsidR="00CF7308" w:rsidRDefault="00CF7308" w:rsidP="00CF73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CF7308" w14:paraId="75FE505F" w14:textId="77777777" w:rsidTr="00D857C6">
        <w:tc>
          <w:tcPr>
            <w:tcW w:w="2252" w:type="dxa"/>
          </w:tcPr>
          <w:p w14:paraId="414376D0" w14:textId="77777777" w:rsidR="00CF7308" w:rsidRDefault="00CF7308" w:rsidP="00D857C6">
            <w:pPr>
              <w:spacing w:line="276" w:lineRule="auto"/>
              <w:jc w:val="center"/>
            </w:pPr>
          </w:p>
        </w:tc>
        <w:tc>
          <w:tcPr>
            <w:tcW w:w="2252" w:type="dxa"/>
          </w:tcPr>
          <w:p w14:paraId="5431E7BF" w14:textId="6F2E2ED3" w:rsidR="00CF7308" w:rsidRDefault="00CF7308" w:rsidP="00D857C6">
            <w:pPr>
              <w:spacing w:line="276" w:lineRule="auto"/>
              <w:jc w:val="center"/>
            </w:pPr>
            <w:proofErr w:type="spellStart"/>
            <w:r>
              <w:rPr>
                <w:b/>
                <w:bCs/>
              </w:rPr>
              <w:t>P</w:t>
            </w:r>
            <w:r w:rsidR="000F4C05">
              <w:rPr>
                <w:b/>
                <w:bCs/>
              </w:rPr>
              <w:t>hS</w:t>
            </w:r>
            <w:proofErr w:type="spellEnd"/>
            <w:r w:rsidR="0053527D">
              <w:rPr>
                <w:b/>
                <w:bCs/>
              </w:rPr>
              <w:t xml:space="preserve"> group</w:t>
            </w:r>
          </w:p>
        </w:tc>
        <w:tc>
          <w:tcPr>
            <w:tcW w:w="2253" w:type="dxa"/>
          </w:tcPr>
          <w:p w14:paraId="19947097" w14:textId="1A84F07F" w:rsidR="00CF7308" w:rsidRPr="00BF2C28" w:rsidRDefault="00CF7308" w:rsidP="00D857C6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</w:t>
            </w:r>
            <w:r w:rsidR="000F4C05">
              <w:rPr>
                <w:b/>
                <w:bCs/>
              </w:rPr>
              <w:t>h</w:t>
            </w:r>
            <w:r>
              <w:rPr>
                <w:b/>
                <w:bCs/>
              </w:rPr>
              <w:t>G</w:t>
            </w:r>
            <w:r w:rsidR="000F4C05">
              <w:rPr>
                <w:b/>
                <w:bCs/>
              </w:rPr>
              <w:t>S</w:t>
            </w:r>
            <w:proofErr w:type="spellEnd"/>
            <w:r w:rsidR="0053527D">
              <w:rPr>
                <w:b/>
                <w:bCs/>
              </w:rPr>
              <w:t xml:space="preserve"> group</w:t>
            </w:r>
          </w:p>
        </w:tc>
        <w:tc>
          <w:tcPr>
            <w:tcW w:w="2253" w:type="dxa"/>
          </w:tcPr>
          <w:p w14:paraId="6EB02167" w14:textId="77777777" w:rsidR="00CF7308" w:rsidRDefault="00CF7308" w:rsidP="00D857C6">
            <w:pPr>
              <w:spacing w:line="276" w:lineRule="auto"/>
              <w:jc w:val="center"/>
            </w:pPr>
            <w:r>
              <w:rPr>
                <w:b/>
                <w:bCs/>
              </w:rPr>
              <w:t>P-value</w:t>
            </w:r>
          </w:p>
        </w:tc>
      </w:tr>
      <w:tr w:rsidR="00CF7308" w14:paraId="16B2BF6B" w14:textId="77777777" w:rsidTr="00D857C6">
        <w:tc>
          <w:tcPr>
            <w:tcW w:w="2252" w:type="dxa"/>
          </w:tcPr>
          <w:p w14:paraId="385E3257" w14:textId="40A699DD" w:rsidR="00CF7308" w:rsidRDefault="00CF7308" w:rsidP="00D857C6">
            <w:pPr>
              <w:spacing w:line="276" w:lineRule="auto"/>
              <w:jc w:val="center"/>
            </w:pPr>
            <w:r w:rsidRPr="00802374">
              <w:rPr>
                <w:b/>
                <w:bCs/>
              </w:rPr>
              <w:t xml:space="preserve">non medicated </w:t>
            </w:r>
            <w:r w:rsidR="0053527D">
              <w:rPr>
                <w:b/>
                <w:bCs/>
              </w:rPr>
              <w:t>Preoperative</w:t>
            </w:r>
            <w:r w:rsidR="0053527D" w:rsidRPr="00802374">
              <w:rPr>
                <w:b/>
                <w:bCs/>
              </w:rPr>
              <w:t xml:space="preserve"> </w:t>
            </w:r>
            <w:r w:rsidRPr="00802374">
              <w:rPr>
                <w:b/>
                <w:bCs/>
              </w:rPr>
              <w:t xml:space="preserve">IOP </w:t>
            </w:r>
            <w:r w:rsidRPr="008023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(mean ± 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</w:t>
            </w:r>
            <w:r w:rsidRPr="008023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14:paraId="10BE07C1" w14:textId="77777777" w:rsidR="00CF7308" w:rsidRPr="003A70EA" w:rsidRDefault="00CF7308" w:rsidP="00D857C6">
            <w:pPr>
              <w:spacing w:line="276" w:lineRule="auto"/>
              <w:jc w:val="center"/>
            </w:pPr>
            <w:r>
              <w:t>35</w:t>
            </w:r>
            <w:r w:rsidRPr="000E065C">
              <w:rPr>
                <w:rFonts w:asciiTheme="majorBidi" w:hAnsiTheme="majorBidi" w:cstheme="majorBidi"/>
                <w:sz w:val="20"/>
                <w:szCs w:val="20"/>
              </w:rPr>
              <w:t>±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0.54</w:t>
            </w:r>
          </w:p>
        </w:tc>
        <w:tc>
          <w:tcPr>
            <w:tcW w:w="2253" w:type="dxa"/>
          </w:tcPr>
          <w:p w14:paraId="653C29EA" w14:textId="77777777" w:rsidR="00CF7308" w:rsidRPr="003A70EA" w:rsidRDefault="00CF7308" w:rsidP="00D857C6">
            <w:pPr>
              <w:spacing w:line="276" w:lineRule="auto"/>
              <w:jc w:val="center"/>
            </w:pPr>
            <w:r>
              <w:t>34</w:t>
            </w:r>
            <w:r w:rsidRPr="000E065C">
              <w:rPr>
                <w:rFonts w:asciiTheme="majorBidi" w:hAnsiTheme="majorBidi" w:cstheme="majorBidi"/>
                <w:sz w:val="20"/>
                <w:szCs w:val="20"/>
              </w:rPr>
              <w:t>±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0.29</w:t>
            </w:r>
          </w:p>
        </w:tc>
        <w:tc>
          <w:tcPr>
            <w:tcW w:w="2253" w:type="dxa"/>
          </w:tcPr>
          <w:p w14:paraId="5020D5B1" w14:textId="77777777" w:rsidR="00CF7308" w:rsidRDefault="00CF7308" w:rsidP="00D857C6">
            <w:pPr>
              <w:spacing w:line="276" w:lineRule="auto"/>
              <w:jc w:val="center"/>
            </w:pPr>
            <w:r>
              <w:t>0.114</w:t>
            </w:r>
          </w:p>
        </w:tc>
      </w:tr>
      <w:tr w:rsidR="00CF7308" w14:paraId="0FF7307D" w14:textId="77777777" w:rsidTr="00D857C6">
        <w:tc>
          <w:tcPr>
            <w:tcW w:w="2252" w:type="dxa"/>
          </w:tcPr>
          <w:p w14:paraId="626636B9" w14:textId="596CE930" w:rsidR="00CF7308" w:rsidRDefault="00CF7308" w:rsidP="00D857C6">
            <w:pPr>
              <w:spacing w:line="276" w:lineRule="auto"/>
              <w:jc w:val="center"/>
            </w:pPr>
            <w:r w:rsidRPr="00BF2C28">
              <w:rPr>
                <w:b/>
                <w:bCs/>
              </w:rPr>
              <w:t xml:space="preserve">medicated </w:t>
            </w:r>
            <w:r w:rsidR="0053527D">
              <w:rPr>
                <w:b/>
                <w:bCs/>
              </w:rPr>
              <w:t>Preoperative</w:t>
            </w:r>
            <w:r w:rsidR="0053527D" w:rsidRPr="00BF2C28">
              <w:rPr>
                <w:b/>
                <w:bCs/>
              </w:rPr>
              <w:t xml:space="preserve"> </w:t>
            </w:r>
            <w:r w:rsidRPr="00802374">
              <w:rPr>
                <w:b/>
                <w:bCs/>
              </w:rPr>
              <w:t xml:space="preserve">IOP </w:t>
            </w:r>
            <w:r w:rsidRPr="008023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(mean ± 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</w:t>
            </w:r>
            <w:r w:rsidRPr="008023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14:paraId="064E42A8" w14:textId="77777777" w:rsidR="00CF7308" w:rsidRPr="003A70EA" w:rsidRDefault="00CF7308" w:rsidP="00D857C6">
            <w:pPr>
              <w:spacing w:line="276" w:lineRule="auto"/>
              <w:jc w:val="center"/>
            </w:pPr>
            <w:r>
              <w:t>13.5</w:t>
            </w:r>
            <w:r w:rsidRPr="000E065C">
              <w:rPr>
                <w:rFonts w:asciiTheme="majorBidi" w:hAnsiTheme="majorBidi" w:cstheme="majorBidi"/>
                <w:sz w:val="20"/>
                <w:szCs w:val="20"/>
              </w:rPr>
              <w:t>±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0.9</w:t>
            </w:r>
          </w:p>
        </w:tc>
        <w:tc>
          <w:tcPr>
            <w:tcW w:w="2253" w:type="dxa"/>
          </w:tcPr>
          <w:p w14:paraId="035FECA5" w14:textId="77777777" w:rsidR="00CF7308" w:rsidRPr="003A70EA" w:rsidRDefault="00CF7308" w:rsidP="00D857C6">
            <w:pPr>
              <w:spacing w:line="276" w:lineRule="auto"/>
              <w:jc w:val="center"/>
            </w:pPr>
            <w:r>
              <w:t>15.26</w:t>
            </w:r>
            <w:r w:rsidRPr="000E065C">
              <w:rPr>
                <w:rFonts w:asciiTheme="majorBidi" w:hAnsiTheme="majorBidi" w:cstheme="majorBidi"/>
                <w:sz w:val="20"/>
                <w:szCs w:val="20"/>
              </w:rPr>
              <w:t>±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1.2</w:t>
            </w:r>
          </w:p>
        </w:tc>
        <w:tc>
          <w:tcPr>
            <w:tcW w:w="2253" w:type="dxa"/>
          </w:tcPr>
          <w:p w14:paraId="12061F9B" w14:textId="77777777" w:rsidR="00CF7308" w:rsidRDefault="00CF7308" w:rsidP="00D857C6">
            <w:pPr>
              <w:spacing w:line="276" w:lineRule="auto"/>
              <w:jc w:val="center"/>
            </w:pPr>
            <w:r>
              <w:t>0.2505</w:t>
            </w:r>
          </w:p>
        </w:tc>
      </w:tr>
      <w:tr w:rsidR="00CF7308" w14:paraId="3D0CAF76" w14:textId="77777777" w:rsidTr="00D857C6">
        <w:tc>
          <w:tcPr>
            <w:tcW w:w="2252" w:type="dxa"/>
          </w:tcPr>
          <w:p w14:paraId="190BE136" w14:textId="5E65C948" w:rsidR="00CF7308" w:rsidRDefault="00CF7308" w:rsidP="00D857C6">
            <w:pPr>
              <w:spacing w:line="276" w:lineRule="auto"/>
              <w:jc w:val="center"/>
            </w:pPr>
            <w:r>
              <w:rPr>
                <w:b/>
                <w:bCs/>
              </w:rPr>
              <w:t xml:space="preserve">Preoperative </w:t>
            </w:r>
            <w:r w:rsidRPr="00802374">
              <w:rPr>
                <w:b/>
                <w:bCs/>
              </w:rPr>
              <w:t xml:space="preserve">Number of IOP lowering </w:t>
            </w:r>
            <w:r w:rsidR="008A305D">
              <w:rPr>
                <w:b/>
                <w:bCs/>
              </w:rPr>
              <w:t>medications</w:t>
            </w:r>
            <w:r w:rsidRPr="00802374">
              <w:rPr>
                <w:b/>
                <w:bCs/>
              </w:rPr>
              <w:t xml:space="preserve"> </w:t>
            </w:r>
            <w:r w:rsidRPr="008023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(mean ± 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</w:t>
            </w:r>
            <w:r w:rsidRPr="008023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14:paraId="77CB9820" w14:textId="77777777" w:rsidR="00CF7308" w:rsidRPr="003A70EA" w:rsidRDefault="00CF7308" w:rsidP="00D857C6">
            <w:pPr>
              <w:spacing w:line="276" w:lineRule="auto"/>
              <w:jc w:val="center"/>
            </w:pPr>
            <w:r>
              <w:t>3</w:t>
            </w:r>
            <w:r w:rsidRPr="000E065C">
              <w:rPr>
                <w:rFonts w:asciiTheme="majorBidi" w:hAnsiTheme="majorBidi" w:cstheme="majorBidi"/>
                <w:sz w:val="20"/>
                <w:szCs w:val="20"/>
              </w:rPr>
              <w:t>±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0.09</w:t>
            </w:r>
          </w:p>
        </w:tc>
        <w:tc>
          <w:tcPr>
            <w:tcW w:w="2253" w:type="dxa"/>
          </w:tcPr>
          <w:p w14:paraId="5897F6B7" w14:textId="77777777" w:rsidR="00CF7308" w:rsidRPr="003A70EA" w:rsidRDefault="00CF7308" w:rsidP="00D857C6">
            <w:pPr>
              <w:spacing w:line="276" w:lineRule="auto"/>
              <w:jc w:val="center"/>
            </w:pPr>
            <w:r>
              <w:t>3</w:t>
            </w:r>
            <w:r w:rsidRPr="000E065C">
              <w:rPr>
                <w:rFonts w:asciiTheme="majorBidi" w:hAnsiTheme="majorBidi" w:cstheme="majorBidi"/>
                <w:sz w:val="20"/>
                <w:szCs w:val="20"/>
              </w:rPr>
              <w:t>±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.01</w:t>
            </w:r>
          </w:p>
        </w:tc>
        <w:tc>
          <w:tcPr>
            <w:tcW w:w="2253" w:type="dxa"/>
          </w:tcPr>
          <w:p w14:paraId="58E0A451" w14:textId="77777777" w:rsidR="00CF7308" w:rsidRDefault="00CF7308" w:rsidP="00D857C6">
            <w:pPr>
              <w:spacing w:line="276" w:lineRule="auto"/>
              <w:jc w:val="center"/>
            </w:pPr>
            <w:r>
              <w:t>0.0930</w:t>
            </w:r>
          </w:p>
        </w:tc>
      </w:tr>
    </w:tbl>
    <w:p w14:paraId="2AB41B42" w14:textId="288120A2" w:rsidR="00CF7308" w:rsidRDefault="00CF7308" w:rsidP="00CF7308">
      <w:pPr>
        <w:spacing w:line="276" w:lineRule="auto"/>
        <w:ind w:firstLine="567"/>
        <w:jc w:val="center"/>
      </w:pPr>
      <w:r w:rsidRPr="00FF70AE">
        <w:rPr>
          <w:b/>
          <w:bCs/>
        </w:rPr>
        <w:t>Table (</w:t>
      </w:r>
      <w:r>
        <w:rPr>
          <w:b/>
          <w:bCs/>
        </w:rPr>
        <w:t>3</w:t>
      </w:r>
      <w:r w:rsidRPr="00FF70AE">
        <w:rPr>
          <w:b/>
          <w:bCs/>
        </w:rPr>
        <w:t>):</w:t>
      </w:r>
      <w:r>
        <w:t xml:space="preserve"> </w:t>
      </w:r>
      <w:r w:rsidR="002360EA">
        <w:t>medicated and non-medicated</w:t>
      </w:r>
      <w:r w:rsidR="008A305D">
        <w:t xml:space="preserve"> preoperative</w:t>
      </w:r>
      <w:r>
        <w:t xml:space="preserve"> IOP and number of IOP lowering drops in </w:t>
      </w:r>
      <w:proofErr w:type="spellStart"/>
      <w:r>
        <w:t>P</w:t>
      </w:r>
      <w:r w:rsidR="008A305D">
        <w:t>hS</w:t>
      </w:r>
      <w:proofErr w:type="spellEnd"/>
      <w:r>
        <w:t xml:space="preserve"> and </w:t>
      </w:r>
      <w:proofErr w:type="spellStart"/>
      <w:r>
        <w:t>P</w:t>
      </w:r>
      <w:r w:rsidR="008A305D">
        <w:t>h</w:t>
      </w:r>
      <w:r>
        <w:t>G</w:t>
      </w:r>
      <w:r w:rsidR="008A305D">
        <w:t>S</w:t>
      </w:r>
      <w:proofErr w:type="spellEnd"/>
      <w:r w:rsidR="0053527D">
        <w:t xml:space="preserve"> groups</w:t>
      </w:r>
    </w:p>
    <w:p w14:paraId="5A868133" w14:textId="77777777" w:rsidR="00CF7308" w:rsidRDefault="00CF7308" w:rsidP="00CF7308"/>
    <w:p w14:paraId="751773A4" w14:textId="77777777" w:rsidR="00CF7308" w:rsidRDefault="00CF7308" w:rsidP="00CF7308"/>
    <w:p w14:paraId="1FBC4CEC" w14:textId="77777777" w:rsidR="00CF7308" w:rsidRDefault="00CF7308" w:rsidP="00CF7308"/>
    <w:p w14:paraId="15DFB468" w14:textId="77777777" w:rsidR="00CF7308" w:rsidRDefault="00CF7308" w:rsidP="00CF7308"/>
    <w:p w14:paraId="4218B5E0" w14:textId="77777777" w:rsidR="00CF7308" w:rsidRDefault="00CF7308" w:rsidP="00CF7308"/>
    <w:p w14:paraId="49061FC7" w14:textId="77777777" w:rsidR="00CF7308" w:rsidRDefault="00CF7308" w:rsidP="00CF7308"/>
    <w:p w14:paraId="0AFDE120" w14:textId="77777777" w:rsidR="00CF7308" w:rsidRDefault="00CF7308" w:rsidP="00CF730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5"/>
        <w:gridCol w:w="728"/>
        <w:gridCol w:w="729"/>
        <w:gridCol w:w="664"/>
        <w:gridCol w:w="774"/>
        <w:gridCol w:w="664"/>
        <w:gridCol w:w="774"/>
        <w:gridCol w:w="664"/>
        <w:gridCol w:w="774"/>
        <w:gridCol w:w="539"/>
        <w:gridCol w:w="774"/>
        <w:gridCol w:w="597"/>
        <w:gridCol w:w="774"/>
      </w:tblGrid>
      <w:tr w:rsidR="00CF7308" w:rsidRPr="00301E35" w14:paraId="6BB30F92" w14:textId="77777777" w:rsidTr="00D857C6">
        <w:trPr>
          <w:trHeight w:val="328"/>
        </w:trPr>
        <w:tc>
          <w:tcPr>
            <w:tcW w:w="308" w:type="pct"/>
            <w:vMerge w:val="restart"/>
          </w:tcPr>
          <w:p w14:paraId="48B23535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7B00F03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83CE159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Groups</w:t>
            </w:r>
          </w:p>
        </w:tc>
        <w:tc>
          <w:tcPr>
            <w:tcW w:w="809" w:type="pct"/>
            <w:gridSpan w:val="2"/>
            <w:vMerge w:val="restart"/>
          </w:tcPr>
          <w:p w14:paraId="129DE588" w14:textId="5A58AFFA" w:rsidR="00CF7308" w:rsidRPr="00301E35" w:rsidRDefault="00AF32B1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Preoperative</w:t>
            </w:r>
          </w:p>
        </w:tc>
        <w:tc>
          <w:tcPr>
            <w:tcW w:w="3883" w:type="pct"/>
            <w:gridSpan w:val="10"/>
          </w:tcPr>
          <w:p w14:paraId="4E7B4FD9" w14:textId="0F8B181A" w:rsidR="00CF7308" w:rsidRPr="00301E35" w:rsidRDefault="00AF32B1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Postoperative</w:t>
            </w:r>
          </w:p>
        </w:tc>
      </w:tr>
      <w:tr w:rsidR="00CF7308" w:rsidRPr="00301E35" w14:paraId="055E5F92" w14:textId="77777777" w:rsidTr="00D857C6">
        <w:trPr>
          <w:trHeight w:val="286"/>
        </w:trPr>
        <w:tc>
          <w:tcPr>
            <w:tcW w:w="308" w:type="pct"/>
            <w:vMerge/>
          </w:tcPr>
          <w:p w14:paraId="4F6948C7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  <w:gridSpan w:val="2"/>
            <w:vMerge/>
          </w:tcPr>
          <w:p w14:paraId="1519D423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gridSpan w:val="2"/>
          </w:tcPr>
          <w:p w14:paraId="1AEBEE07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</w:t>
            </w:r>
            <w:r w:rsidRPr="00301E35">
              <w:rPr>
                <w:sz w:val="20"/>
                <w:szCs w:val="20"/>
              </w:rPr>
              <w:t xml:space="preserve"> week</w:t>
            </w:r>
          </w:p>
        </w:tc>
        <w:tc>
          <w:tcPr>
            <w:tcW w:w="798" w:type="pct"/>
            <w:gridSpan w:val="2"/>
          </w:tcPr>
          <w:p w14:paraId="68173591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</w:t>
            </w:r>
            <w:r w:rsidRPr="00301E35">
              <w:rPr>
                <w:sz w:val="20"/>
                <w:szCs w:val="20"/>
              </w:rPr>
              <w:t xml:space="preserve"> month</w:t>
            </w:r>
          </w:p>
        </w:tc>
        <w:tc>
          <w:tcPr>
            <w:tcW w:w="798" w:type="pct"/>
            <w:gridSpan w:val="2"/>
          </w:tcPr>
          <w:p w14:paraId="5D6EF043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Six</w:t>
            </w:r>
            <w:r w:rsidRPr="00301E35">
              <w:rPr>
                <w:sz w:val="20"/>
                <w:szCs w:val="20"/>
              </w:rPr>
              <w:t xml:space="preserve"> months</w:t>
            </w:r>
          </w:p>
        </w:tc>
        <w:tc>
          <w:tcPr>
            <w:tcW w:w="729" w:type="pct"/>
            <w:gridSpan w:val="2"/>
          </w:tcPr>
          <w:p w14:paraId="04042C76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1E35">
              <w:rPr>
                <w:sz w:val="20"/>
                <w:szCs w:val="20"/>
              </w:rPr>
              <w:t>12 months</w:t>
            </w:r>
          </w:p>
        </w:tc>
        <w:tc>
          <w:tcPr>
            <w:tcW w:w="761" w:type="pct"/>
            <w:gridSpan w:val="2"/>
          </w:tcPr>
          <w:p w14:paraId="2F2A507C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1E35">
              <w:rPr>
                <w:sz w:val="20"/>
                <w:szCs w:val="20"/>
              </w:rPr>
              <w:t>24 months</w:t>
            </w:r>
          </w:p>
        </w:tc>
      </w:tr>
      <w:tr w:rsidR="00CF7308" w:rsidRPr="00301E35" w14:paraId="05DD3458" w14:textId="77777777" w:rsidTr="00D857C6">
        <w:trPr>
          <w:trHeight w:val="185"/>
        </w:trPr>
        <w:tc>
          <w:tcPr>
            <w:tcW w:w="308" w:type="pct"/>
            <w:vMerge/>
          </w:tcPr>
          <w:p w14:paraId="10851233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</w:tcPr>
          <w:p w14:paraId="5C17DDCE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1E35">
              <w:rPr>
                <w:sz w:val="20"/>
                <w:szCs w:val="20"/>
              </w:rPr>
              <w:t>IOP</w:t>
            </w:r>
          </w:p>
          <w:p w14:paraId="1AA51948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301E35">
              <w:rPr>
                <w:sz w:val="20"/>
                <w:szCs w:val="20"/>
              </w:rPr>
              <w:t>mean</w:t>
            </w:r>
            <w:r w:rsidRPr="00301E35">
              <w:rPr>
                <w:rFonts w:cstheme="minorHAnsi"/>
                <w:sz w:val="20"/>
                <w:szCs w:val="20"/>
              </w:rPr>
              <w:t>±</w:t>
            </w:r>
            <w:r w:rsidRPr="00301E35">
              <w:rPr>
                <w:sz w:val="20"/>
                <w:szCs w:val="20"/>
              </w:rPr>
              <w:t>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01E35">
              <w:rPr>
                <w:sz w:val="20"/>
                <w:szCs w:val="20"/>
              </w:rPr>
              <w:lastRenderedPageBreak/>
              <w:t>(non-medicated)</w:t>
            </w:r>
          </w:p>
        </w:tc>
        <w:tc>
          <w:tcPr>
            <w:tcW w:w="405" w:type="pct"/>
          </w:tcPr>
          <w:p w14:paraId="4AC792C8" w14:textId="5833179B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1E35">
              <w:rPr>
                <w:sz w:val="20"/>
                <w:szCs w:val="20"/>
              </w:rPr>
              <w:lastRenderedPageBreak/>
              <w:t>N</w:t>
            </w:r>
            <w:r w:rsidR="00905A81">
              <w:rPr>
                <w:sz w:val="20"/>
                <w:szCs w:val="20"/>
              </w:rPr>
              <w:t>umber</w:t>
            </w:r>
            <w:r w:rsidRPr="00301E35">
              <w:rPr>
                <w:sz w:val="20"/>
                <w:szCs w:val="20"/>
              </w:rPr>
              <w:t xml:space="preserve"> </w:t>
            </w:r>
            <w:proofErr w:type="gramStart"/>
            <w:r w:rsidRPr="00301E35">
              <w:rPr>
                <w:sz w:val="20"/>
                <w:szCs w:val="20"/>
              </w:rPr>
              <w:t xml:space="preserve">of  </w:t>
            </w:r>
            <w:r w:rsidRPr="00301E35">
              <w:rPr>
                <w:sz w:val="20"/>
                <w:szCs w:val="20"/>
              </w:rPr>
              <w:lastRenderedPageBreak/>
              <w:t>medication</w:t>
            </w:r>
            <w:proofErr w:type="gramEnd"/>
          </w:p>
        </w:tc>
        <w:tc>
          <w:tcPr>
            <w:tcW w:w="368" w:type="pct"/>
          </w:tcPr>
          <w:p w14:paraId="6556E243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IOP </w:t>
            </w:r>
            <w:proofErr w:type="spellStart"/>
            <w:r w:rsidRPr="00301E35">
              <w:rPr>
                <w:sz w:val="20"/>
                <w:szCs w:val="20"/>
              </w:rPr>
              <w:t>mean±SE</w:t>
            </w:r>
            <w:proofErr w:type="spellEnd"/>
          </w:p>
        </w:tc>
        <w:tc>
          <w:tcPr>
            <w:tcW w:w="430" w:type="pct"/>
          </w:tcPr>
          <w:p w14:paraId="51331BDA" w14:textId="346B5150" w:rsidR="00CF7308" w:rsidRPr="00301E35" w:rsidRDefault="00905A81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1E35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</w:t>
            </w:r>
            <w:r w:rsidR="00CF7308" w:rsidRPr="00301E35">
              <w:rPr>
                <w:sz w:val="20"/>
                <w:szCs w:val="20"/>
              </w:rPr>
              <w:t xml:space="preserve"> of </w:t>
            </w:r>
            <w:r w:rsidR="00CF7308">
              <w:rPr>
                <w:sz w:val="20"/>
                <w:szCs w:val="20"/>
              </w:rPr>
              <w:lastRenderedPageBreak/>
              <w:t>medications</w:t>
            </w:r>
          </w:p>
        </w:tc>
        <w:tc>
          <w:tcPr>
            <w:tcW w:w="368" w:type="pct"/>
          </w:tcPr>
          <w:p w14:paraId="30C0492C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1E35">
              <w:rPr>
                <w:sz w:val="20"/>
                <w:szCs w:val="20"/>
              </w:rPr>
              <w:lastRenderedPageBreak/>
              <w:t xml:space="preserve">IOP </w:t>
            </w:r>
            <w:proofErr w:type="spellStart"/>
            <w:r w:rsidRPr="00301E35">
              <w:rPr>
                <w:sz w:val="20"/>
                <w:szCs w:val="20"/>
              </w:rPr>
              <w:t>mean±SE</w:t>
            </w:r>
            <w:proofErr w:type="spellEnd"/>
          </w:p>
        </w:tc>
        <w:tc>
          <w:tcPr>
            <w:tcW w:w="430" w:type="pct"/>
          </w:tcPr>
          <w:p w14:paraId="5BC3E1B1" w14:textId="321433F1" w:rsidR="00CF7308" w:rsidRPr="00301E35" w:rsidRDefault="00905A81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1E35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</w:t>
            </w:r>
            <w:r w:rsidRPr="00301E35">
              <w:rPr>
                <w:sz w:val="20"/>
                <w:szCs w:val="20"/>
              </w:rPr>
              <w:t xml:space="preserve"> </w:t>
            </w:r>
            <w:r w:rsidR="00CF7308" w:rsidRPr="00301E35">
              <w:rPr>
                <w:sz w:val="20"/>
                <w:szCs w:val="20"/>
              </w:rPr>
              <w:t xml:space="preserve">of </w:t>
            </w:r>
            <w:r w:rsidR="00CF7308">
              <w:rPr>
                <w:sz w:val="20"/>
                <w:szCs w:val="20"/>
              </w:rPr>
              <w:lastRenderedPageBreak/>
              <w:t>medications</w:t>
            </w:r>
          </w:p>
        </w:tc>
        <w:tc>
          <w:tcPr>
            <w:tcW w:w="368" w:type="pct"/>
          </w:tcPr>
          <w:p w14:paraId="04B632CC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1E35">
              <w:rPr>
                <w:sz w:val="20"/>
                <w:szCs w:val="20"/>
              </w:rPr>
              <w:lastRenderedPageBreak/>
              <w:t>IOP</w:t>
            </w:r>
          </w:p>
          <w:p w14:paraId="5CC77A60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301E35">
              <w:rPr>
                <w:sz w:val="20"/>
                <w:szCs w:val="20"/>
              </w:rPr>
              <w:t>mean±SE</w:t>
            </w:r>
            <w:proofErr w:type="spellEnd"/>
          </w:p>
        </w:tc>
        <w:tc>
          <w:tcPr>
            <w:tcW w:w="430" w:type="pct"/>
          </w:tcPr>
          <w:p w14:paraId="6BAE8C8A" w14:textId="3526DEA1" w:rsidR="00CF7308" w:rsidRPr="00301E35" w:rsidRDefault="00905A81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1E35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</w:t>
            </w:r>
            <w:r w:rsidRPr="00301E35">
              <w:rPr>
                <w:sz w:val="20"/>
                <w:szCs w:val="20"/>
              </w:rPr>
              <w:t xml:space="preserve"> </w:t>
            </w:r>
            <w:r w:rsidR="00CF7308" w:rsidRPr="00301E35">
              <w:rPr>
                <w:sz w:val="20"/>
                <w:szCs w:val="20"/>
              </w:rPr>
              <w:t xml:space="preserve">of </w:t>
            </w:r>
            <w:r w:rsidR="00CF7308">
              <w:rPr>
                <w:sz w:val="20"/>
                <w:szCs w:val="20"/>
              </w:rPr>
              <w:lastRenderedPageBreak/>
              <w:t>medications</w:t>
            </w:r>
          </w:p>
        </w:tc>
        <w:tc>
          <w:tcPr>
            <w:tcW w:w="299" w:type="pct"/>
          </w:tcPr>
          <w:p w14:paraId="225277E8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1E35">
              <w:rPr>
                <w:sz w:val="20"/>
                <w:szCs w:val="20"/>
              </w:rPr>
              <w:lastRenderedPageBreak/>
              <w:t>IOP</w:t>
            </w:r>
          </w:p>
        </w:tc>
        <w:tc>
          <w:tcPr>
            <w:tcW w:w="430" w:type="pct"/>
          </w:tcPr>
          <w:p w14:paraId="50CEB6CD" w14:textId="5C4FF406" w:rsidR="00CF7308" w:rsidRPr="00301E35" w:rsidRDefault="00905A81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1E35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</w:t>
            </w:r>
            <w:r w:rsidRPr="00301E35">
              <w:rPr>
                <w:sz w:val="20"/>
                <w:szCs w:val="20"/>
              </w:rPr>
              <w:t xml:space="preserve"> </w:t>
            </w:r>
            <w:r w:rsidR="00CF7308" w:rsidRPr="00301E35">
              <w:rPr>
                <w:sz w:val="20"/>
                <w:szCs w:val="20"/>
              </w:rPr>
              <w:t xml:space="preserve">of </w:t>
            </w:r>
            <w:r w:rsidR="00CF7308">
              <w:rPr>
                <w:sz w:val="20"/>
                <w:szCs w:val="20"/>
              </w:rPr>
              <w:lastRenderedPageBreak/>
              <w:t>medications</w:t>
            </w:r>
          </w:p>
        </w:tc>
        <w:tc>
          <w:tcPr>
            <w:tcW w:w="331" w:type="pct"/>
          </w:tcPr>
          <w:p w14:paraId="2547C72B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1E35">
              <w:rPr>
                <w:sz w:val="20"/>
                <w:szCs w:val="20"/>
              </w:rPr>
              <w:lastRenderedPageBreak/>
              <w:t>IOP</w:t>
            </w:r>
          </w:p>
        </w:tc>
        <w:tc>
          <w:tcPr>
            <w:tcW w:w="430" w:type="pct"/>
          </w:tcPr>
          <w:p w14:paraId="4DB0774A" w14:textId="6E9D3712" w:rsidR="00CF7308" w:rsidRPr="00301E35" w:rsidRDefault="00905A81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1E35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</w:t>
            </w:r>
            <w:r w:rsidRPr="00301E35">
              <w:rPr>
                <w:sz w:val="20"/>
                <w:szCs w:val="20"/>
              </w:rPr>
              <w:t xml:space="preserve"> </w:t>
            </w:r>
            <w:r w:rsidR="00CF7308" w:rsidRPr="00301E35">
              <w:rPr>
                <w:sz w:val="20"/>
                <w:szCs w:val="20"/>
              </w:rPr>
              <w:t xml:space="preserve">of </w:t>
            </w:r>
            <w:r w:rsidR="00CF7308">
              <w:rPr>
                <w:sz w:val="20"/>
                <w:szCs w:val="20"/>
              </w:rPr>
              <w:lastRenderedPageBreak/>
              <w:t>medications</w:t>
            </w:r>
          </w:p>
        </w:tc>
      </w:tr>
      <w:tr w:rsidR="00CF7308" w:rsidRPr="00301E35" w14:paraId="7B29E1B8" w14:textId="77777777" w:rsidTr="00D857C6">
        <w:tc>
          <w:tcPr>
            <w:tcW w:w="308" w:type="pct"/>
          </w:tcPr>
          <w:p w14:paraId="122DBB02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F6C078D" w14:textId="0CDBBA02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="000F4C05">
              <w:rPr>
                <w:sz w:val="20"/>
                <w:szCs w:val="20"/>
              </w:rPr>
              <w:t>hM</w:t>
            </w:r>
            <w:proofErr w:type="spellEnd"/>
          </w:p>
          <w:p w14:paraId="6E6AA587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C5D2F3F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</w:tcPr>
          <w:p w14:paraId="6DEA3975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DAB38D6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1E35">
              <w:rPr>
                <w:sz w:val="20"/>
                <w:szCs w:val="20"/>
              </w:rPr>
              <w:t>33±1.9</w:t>
            </w:r>
          </w:p>
        </w:tc>
        <w:tc>
          <w:tcPr>
            <w:tcW w:w="405" w:type="pct"/>
          </w:tcPr>
          <w:p w14:paraId="3CB042FB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1067DD6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1E35">
              <w:rPr>
                <w:sz w:val="20"/>
                <w:szCs w:val="20"/>
              </w:rPr>
              <w:t>3</w:t>
            </w:r>
          </w:p>
        </w:tc>
        <w:tc>
          <w:tcPr>
            <w:tcW w:w="368" w:type="pct"/>
          </w:tcPr>
          <w:p w14:paraId="01164EBE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FD773E3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1E35">
              <w:rPr>
                <w:sz w:val="20"/>
                <w:szCs w:val="20"/>
              </w:rPr>
              <w:t>28±1.2</w:t>
            </w:r>
          </w:p>
        </w:tc>
        <w:tc>
          <w:tcPr>
            <w:tcW w:w="430" w:type="pct"/>
          </w:tcPr>
          <w:p w14:paraId="1785B365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F3FE628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1E35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</w:tcPr>
          <w:p w14:paraId="516D7CC6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05895AA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1E35">
              <w:rPr>
                <w:sz w:val="20"/>
                <w:szCs w:val="20"/>
              </w:rPr>
              <w:t>11±0.8</w:t>
            </w:r>
          </w:p>
        </w:tc>
        <w:tc>
          <w:tcPr>
            <w:tcW w:w="430" w:type="pct"/>
          </w:tcPr>
          <w:p w14:paraId="11727D84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045F403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1E35">
              <w:rPr>
                <w:sz w:val="20"/>
                <w:szCs w:val="20"/>
              </w:rPr>
              <w:t>3</w:t>
            </w:r>
          </w:p>
        </w:tc>
        <w:tc>
          <w:tcPr>
            <w:tcW w:w="368" w:type="pct"/>
          </w:tcPr>
          <w:p w14:paraId="46AF06BC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3A226A6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1E35">
              <w:rPr>
                <w:sz w:val="20"/>
                <w:szCs w:val="20"/>
              </w:rPr>
              <w:t>10±0.81</w:t>
            </w:r>
          </w:p>
        </w:tc>
        <w:tc>
          <w:tcPr>
            <w:tcW w:w="430" w:type="pct"/>
          </w:tcPr>
          <w:p w14:paraId="3EB18BAA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C47DF09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1E35">
              <w:rPr>
                <w:sz w:val="20"/>
                <w:szCs w:val="20"/>
              </w:rPr>
              <w:t>3</w:t>
            </w:r>
          </w:p>
        </w:tc>
        <w:tc>
          <w:tcPr>
            <w:tcW w:w="299" w:type="pct"/>
          </w:tcPr>
          <w:p w14:paraId="2C4433CA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F8385DA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1E35">
              <w:rPr>
                <w:sz w:val="20"/>
                <w:szCs w:val="20"/>
              </w:rPr>
              <w:t>11±0.9</w:t>
            </w:r>
          </w:p>
        </w:tc>
        <w:tc>
          <w:tcPr>
            <w:tcW w:w="430" w:type="pct"/>
          </w:tcPr>
          <w:p w14:paraId="03B2E240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09E73DE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1E35">
              <w:rPr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59CFAB1E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EE482D5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1E35">
              <w:rPr>
                <w:sz w:val="20"/>
                <w:szCs w:val="20"/>
              </w:rPr>
              <w:t>12±0.81</w:t>
            </w:r>
          </w:p>
        </w:tc>
        <w:tc>
          <w:tcPr>
            <w:tcW w:w="430" w:type="pct"/>
          </w:tcPr>
          <w:p w14:paraId="6F7BD7A7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D0D1D4C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1E35">
              <w:rPr>
                <w:sz w:val="20"/>
                <w:szCs w:val="20"/>
              </w:rPr>
              <w:t>3</w:t>
            </w:r>
          </w:p>
        </w:tc>
      </w:tr>
      <w:tr w:rsidR="00CF7308" w:rsidRPr="00301E35" w14:paraId="573A1B86" w14:textId="77777777" w:rsidTr="00D857C6">
        <w:trPr>
          <w:trHeight w:val="697"/>
        </w:trPr>
        <w:tc>
          <w:tcPr>
            <w:tcW w:w="308" w:type="pct"/>
          </w:tcPr>
          <w:p w14:paraId="10C54C74" w14:textId="77F603D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="000F4C05">
              <w:rPr>
                <w:sz w:val="20"/>
                <w:szCs w:val="20"/>
              </w:rPr>
              <w:t>hS</w:t>
            </w:r>
            <w:proofErr w:type="spellEnd"/>
          </w:p>
          <w:p w14:paraId="7C12B44F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</w:tcPr>
          <w:p w14:paraId="749C4769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1E35">
              <w:rPr>
                <w:sz w:val="20"/>
                <w:szCs w:val="20"/>
              </w:rPr>
              <w:t>35±0.54</w:t>
            </w:r>
          </w:p>
        </w:tc>
        <w:tc>
          <w:tcPr>
            <w:tcW w:w="405" w:type="pct"/>
          </w:tcPr>
          <w:p w14:paraId="2A6C8C25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1E35">
              <w:rPr>
                <w:sz w:val="20"/>
                <w:szCs w:val="20"/>
              </w:rPr>
              <w:t>3</w:t>
            </w:r>
          </w:p>
        </w:tc>
        <w:tc>
          <w:tcPr>
            <w:tcW w:w="368" w:type="pct"/>
          </w:tcPr>
          <w:p w14:paraId="21492ACE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1E35">
              <w:rPr>
                <w:sz w:val="20"/>
                <w:szCs w:val="20"/>
              </w:rPr>
              <w:t>31±0.83</w:t>
            </w:r>
          </w:p>
        </w:tc>
        <w:tc>
          <w:tcPr>
            <w:tcW w:w="430" w:type="pct"/>
          </w:tcPr>
          <w:p w14:paraId="0EFBDFA1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1E35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</w:tcPr>
          <w:p w14:paraId="6FBEDF34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1E35">
              <w:rPr>
                <w:sz w:val="20"/>
                <w:szCs w:val="20"/>
              </w:rPr>
              <w:t>18±1.2</w:t>
            </w:r>
          </w:p>
        </w:tc>
        <w:tc>
          <w:tcPr>
            <w:tcW w:w="430" w:type="pct"/>
          </w:tcPr>
          <w:p w14:paraId="0885C52E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1E35">
              <w:rPr>
                <w:sz w:val="20"/>
                <w:szCs w:val="20"/>
              </w:rPr>
              <w:t>3</w:t>
            </w:r>
          </w:p>
        </w:tc>
        <w:tc>
          <w:tcPr>
            <w:tcW w:w="368" w:type="pct"/>
          </w:tcPr>
          <w:p w14:paraId="0EEA2FC9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1E35">
              <w:rPr>
                <w:sz w:val="20"/>
                <w:szCs w:val="20"/>
              </w:rPr>
              <w:t>17±1.1</w:t>
            </w:r>
          </w:p>
        </w:tc>
        <w:tc>
          <w:tcPr>
            <w:tcW w:w="430" w:type="pct"/>
          </w:tcPr>
          <w:p w14:paraId="4937DCBA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1E35">
              <w:rPr>
                <w:sz w:val="20"/>
                <w:szCs w:val="20"/>
              </w:rPr>
              <w:t>3</w:t>
            </w:r>
          </w:p>
        </w:tc>
        <w:tc>
          <w:tcPr>
            <w:tcW w:w="299" w:type="pct"/>
          </w:tcPr>
          <w:p w14:paraId="7F1BB9F0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1E35">
              <w:rPr>
                <w:sz w:val="20"/>
                <w:szCs w:val="20"/>
              </w:rPr>
              <w:t>15±1.4</w:t>
            </w:r>
          </w:p>
        </w:tc>
        <w:tc>
          <w:tcPr>
            <w:tcW w:w="430" w:type="pct"/>
          </w:tcPr>
          <w:p w14:paraId="65B91B61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1E35">
              <w:rPr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095C475C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1E35">
              <w:rPr>
                <w:sz w:val="20"/>
                <w:szCs w:val="20"/>
              </w:rPr>
              <w:t>14±0.9</w:t>
            </w:r>
          </w:p>
        </w:tc>
        <w:tc>
          <w:tcPr>
            <w:tcW w:w="430" w:type="pct"/>
          </w:tcPr>
          <w:p w14:paraId="342A5636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1E35">
              <w:rPr>
                <w:sz w:val="20"/>
                <w:szCs w:val="20"/>
              </w:rPr>
              <w:t>3</w:t>
            </w:r>
          </w:p>
        </w:tc>
      </w:tr>
      <w:tr w:rsidR="00CF7308" w:rsidRPr="00301E35" w14:paraId="32C16A82" w14:textId="77777777" w:rsidTr="00D857C6">
        <w:tc>
          <w:tcPr>
            <w:tcW w:w="308" w:type="pct"/>
          </w:tcPr>
          <w:p w14:paraId="6B3ECF93" w14:textId="5F69B0E8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="000F4C05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G</w:t>
            </w:r>
            <w:r w:rsidR="000F4C05">
              <w:rPr>
                <w:sz w:val="20"/>
                <w:szCs w:val="20"/>
              </w:rPr>
              <w:t>M</w:t>
            </w:r>
            <w:proofErr w:type="spellEnd"/>
          </w:p>
        </w:tc>
        <w:tc>
          <w:tcPr>
            <w:tcW w:w="404" w:type="pct"/>
          </w:tcPr>
          <w:p w14:paraId="63AE29D2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B873B07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1E35">
              <w:rPr>
                <w:sz w:val="20"/>
                <w:szCs w:val="20"/>
              </w:rPr>
              <w:t>31±0.9</w:t>
            </w:r>
          </w:p>
        </w:tc>
        <w:tc>
          <w:tcPr>
            <w:tcW w:w="405" w:type="pct"/>
          </w:tcPr>
          <w:p w14:paraId="7DF037EF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39EB51A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1E35">
              <w:rPr>
                <w:sz w:val="20"/>
                <w:szCs w:val="20"/>
              </w:rPr>
              <w:t>3</w:t>
            </w:r>
          </w:p>
        </w:tc>
        <w:tc>
          <w:tcPr>
            <w:tcW w:w="368" w:type="pct"/>
          </w:tcPr>
          <w:p w14:paraId="7A9661DC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63536B2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1E35">
              <w:rPr>
                <w:sz w:val="20"/>
                <w:szCs w:val="20"/>
              </w:rPr>
              <w:t>14±0.9</w:t>
            </w:r>
          </w:p>
        </w:tc>
        <w:tc>
          <w:tcPr>
            <w:tcW w:w="430" w:type="pct"/>
          </w:tcPr>
          <w:p w14:paraId="72803B94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C7A92C7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1E35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</w:tcPr>
          <w:p w14:paraId="455DB96E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79F8255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1E35">
              <w:rPr>
                <w:sz w:val="20"/>
                <w:szCs w:val="20"/>
              </w:rPr>
              <w:t>13±0.9</w:t>
            </w:r>
          </w:p>
        </w:tc>
        <w:tc>
          <w:tcPr>
            <w:tcW w:w="430" w:type="pct"/>
          </w:tcPr>
          <w:p w14:paraId="7D57DAC1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E702330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1E35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</w:tcPr>
          <w:p w14:paraId="1F02B2B2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58E0A5D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1E35">
              <w:rPr>
                <w:sz w:val="20"/>
                <w:szCs w:val="20"/>
              </w:rPr>
              <w:t>12±1.1</w:t>
            </w:r>
          </w:p>
        </w:tc>
        <w:tc>
          <w:tcPr>
            <w:tcW w:w="430" w:type="pct"/>
          </w:tcPr>
          <w:p w14:paraId="7530785C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F8654CF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1E35"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</w:tcPr>
          <w:p w14:paraId="3F707EE9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9C19832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1E35">
              <w:rPr>
                <w:sz w:val="20"/>
                <w:szCs w:val="20"/>
              </w:rPr>
              <w:t>13±1.2</w:t>
            </w:r>
          </w:p>
        </w:tc>
        <w:tc>
          <w:tcPr>
            <w:tcW w:w="430" w:type="pct"/>
          </w:tcPr>
          <w:p w14:paraId="72F8910D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4E18639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1E35">
              <w:rPr>
                <w:sz w:val="20"/>
                <w:szCs w:val="20"/>
              </w:rPr>
              <w:t>0</w:t>
            </w:r>
          </w:p>
        </w:tc>
        <w:tc>
          <w:tcPr>
            <w:tcW w:w="331" w:type="pct"/>
          </w:tcPr>
          <w:p w14:paraId="1AE72521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0883676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1E35">
              <w:rPr>
                <w:sz w:val="20"/>
                <w:szCs w:val="20"/>
              </w:rPr>
              <w:t>11±0.9</w:t>
            </w:r>
          </w:p>
        </w:tc>
        <w:tc>
          <w:tcPr>
            <w:tcW w:w="430" w:type="pct"/>
          </w:tcPr>
          <w:p w14:paraId="749E0DAD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E7FAA9E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1E35">
              <w:rPr>
                <w:sz w:val="20"/>
                <w:szCs w:val="20"/>
              </w:rPr>
              <w:t>0</w:t>
            </w:r>
          </w:p>
        </w:tc>
      </w:tr>
      <w:tr w:rsidR="00CF7308" w:rsidRPr="00301E35" w14:paraId="70EA6249" w14:textId="77777777" w:rsidTr="00D857C6">
        <w:tc>
          <w:tcPr>
            <w:tcW w:w="308" w:type="pct"/>
          </w:tcPr>
          <w:p w14:paraId="411FC17D" w14:textId="771CD833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="000F4C05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G</w:t>
            </w:r>
            <w:r w:rsidR="000F4C05">
              <w:rPr>
                <w:sz w:val="20"/>
                <w:szCs w:val="20"/>
              </w:rPr>
              <w:t>S</w:t>
            </w:r>
            <w:proofErr w:type="spellEnd"/>
          </w:p>
        </w:tc>
        <w:tc>
          <w:tcPr>
            <w:tcW w:w="404" w:type="pct"/>
          </w:tcPr>
          <w:p w14:paraId="7A4E9E17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513D5B6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1E35">
              <w:rPr>
                <w:sz w:val="20"/>
                <w:szCs w:val="20"/>
              </w:rPr>
              <w:t>34±0.29</w:t>
            </w:r>
          </w:p>
          <w:p w14:paraId="54FA7C9C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14:paraId="288B502E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38FB095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1E35">
              <w:rPr>
                <w:sz w:val="20"/>
                <w:szCs w:val="20"/>
              </w:rPr>
              <w:t>3</w:t>
            </w:r>
          </w:p>
        </w:tc>
        <w:tc>
          <w:tcPr>
            <w:tcW w:w="368" w:type="pct"/>
          </w:tcPr>
          <w:p w14:paraId="3A75FCA0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B695E50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1E35">
              <w:rPr>
                <w:sz w:val="20"/>
                <w:szCs w:val="20"/>
              </w:rPr>
              <w:t>26±1.2</w:t>
            </w:r>
          </w:p>
        </w:tc>
        <w:tc>
          <w:tcPr>
            <w:tcW w:w="430" w:type="pct"/>
          </w:tcPr>
          <w:p w14:paraId="74541B3F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9A62736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1E35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</w:tcPr>
          <w:p w14:paraId="563B2F0A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788661B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301E35">
              <w:rPr>
                <w:sz w:val="20"/>
                <w:szCs w:val="20"/>
              </w:rPr>
              <w:t>±0.6</w:t>
            </w:r>
          </w:p>
        </w:tc>
        <w:tc>
          <w:tcPr>
            <w:tcW w:w="430" w:type="pct"/>
          </w:tcPr>
          <w:p w14:paraId="06C1DAA0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5ECE42C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1E35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</w:tcPr>
          <w:p w14:paraId="7BFA40BA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A920A1E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1E35">
              <w:rPr>
                <w:sz w:val="20"/>
                <w:szCs w:val="20"/>
              </w:rPr>
              <w:t>13±0.95</w:t>
            </w:r>
          </w:p>
        </w:tc>
        <w:tc>
          <w:tcPr>
            <w:tcW w:w="430" w:type="pct"/>
          </w:tcPr>
          <w:p w14:paraId="5F9B0620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946E2AC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1E35">
              <w:rPr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14:paraId="0F72D3A7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32E681D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1E35">
              <w:rPr>
                <w:sz w:val="20"/>
                <w:szCs w:val="20"/>
              </w:rPr>
              <w:t>16±1.3</w:t>
            </w:r>
          </w:p>
        </w:tc>
        <w:tc>
          <w:tcPr>
            <w:tcW w:w="430" w:type="pct"/>
          </w:tcPr>
          <w:p w14:paraId="665CEE15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6269BC2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1E35">
              <w:rPr>
                <w:sz w:val="20"/>
                <w:szCs w:val="20"/>
              </w:rPr>
              <w:t>2</w:t>
            </w:r>
          </w:p>
        </w:tc>
        <w:tc>
          <w:tcPr>
            <w:tcW w:w="331" w:type="pct"/>
          </w:tcPr>
          <w:p w14:paraId="62322C2E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9D5BE39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1E35">
              <w:rPr>
                <w:sz w:val="20"/>
                <w:szCs w:val="20"/>
              </w:rPr>
              <w:t>13±0.11</w:t>
            </w:r>
          </w:p>
        </w:tc>
        <w:tc>
          <w:tcPr>
            <w:tcW w:w="430" w:type="pct"/>
          </w:tcPr>
          <w:p w14:paraId="57EF5E8E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50B633A" w14:textId="77777777" w:rsidR="00CF7308" w:rsidRPr="00301E35" w:rsidRDefault="00CF7308" w:rsidP="00D857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1E35">
              <w:rPr>
                <w:sz w:val="20"/>
                <w:szCs w:val="20"/>
              </w:rPr>
              <w:t>2</w:t>
            </w:r>
          </w:p>
        </w:tc>
      </w:tr>
    </w:tbl>
    <w:p w14:paraId="6AC98FE4" w14:textId="00CF0777" w:rsidR="00CF7308" w:rsidRPr="00D71EDD" w:rsidRDefault="00CF7308" w:rsidP="008A305D">
      <w:pPr>
        <w:spacing w:line="276" w:lineRule="auto"/>
        <w:ind w:firstLine="567"/>
        <w:jc w:val="center"/>
      </w:pPr>
      <w:r w:rsidRPr="005E792A">
        <w:rPr>
          <w:b/>
          <w:bCs/>
        </w:rPr>
        <w:t>Table (4):</w:t>
      </w:r>
      <w:r>
        <w:t xml:space="preserve"> </w:t>
      </w:r>
      <w:r w:rsidRPr="00D71EDD">
        <w:t xml:space="preserve">IOP </w:t>
      </w:r>
      <w:r w:rsidR="008A305D">
        <w:t xml:space="preserve">change </w:t>
      </w:r>
      <w:r w:rsidRPr="00D71EDD">
        <w:t xml:space="preserve">from </w:t>
      </w:r>
      <w:r w:rsidR="00AF32B1" w:rsidRPr="00D71EDD">
        <w:t>non-medicated</w:t>
      </w:r>
      <w:r w:rsidRPr="00D71EDD">
        <w:t xml:space="preserve"> </w:t>
      </w:r>
      <w:r w:rsidR="00AF32B1">
        <w:t>preoperative</w:t>
      </w:r>
      <w:r w:rsidR="00AF32B1" w:rsidRPr="00D71EDD">
        <w:t xml:space="preserve"> </w:t>
      </w:r>
      <w:r w:rsidR="008A305D">
        <w:t>level</w:t>
      </w:r>
      <w:r w:rsidRPr="00D71EDD">
        <w:t xml:space="preserve"> </w:t>
      </w:r>
      <w:r w:rsidR="00AF32B1">
        <w:t>correlated</w:t>
      </w:r>
      <w:r w:rsidRPr="00D71EDD">
        <w:t xml:space="preserve"> to change in the number of </w:t>
      </w:r>
      <w:r w:rsidR="008A305D">
        <w:t>IOP lowering drops</w:t>
      </w:r>
      <w:r w:rsidRPr="00D71EDD">
        <w:t xml:space="preserve"> over </w:t>
      </w:r>
      <w:r w:rsidR="00915F35">
        <w:t>study period</w:t>
      </w:r>
      <w:r w:rsidRPr="00D71EDD">
        <w:t xml:space="preserve"> </w:t>
      </w:r>
    </w:p>
    <w:p w14:paraId="51A203F4" w14:textId="77777777" w:rsidR="00CF7308" w:rsidRDefault="00CF7308" w:rsidP="00CF7308"/>
    <w:p w14:paraId="4F7E97A8" w14:textId="77777777" w:rsidR="00CF7308" w:rsidRDefault="00CF7308" w:rsidP="00CF73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819"/>
        <w:gridCol w:w="1819"/>
        <w:gridCol w:w="1819"/>
        <w:gridCol w:w="1630"/>
      </w:tblGrid>
      <w:tr w:rsidR="00CF7308" w14:paraId="5146CAFA" w14:textId="77777777" w:rsidTr="00D857C6">
        <w:tc>
          <w:tcPr>
            <w:tcW w:w="1923" w:type="dxa"/>
          </w:tcPr>
          <w:p w14:paraId="468CF713" w14:textId="77777777" w:rsidR="00CF7308" w:rsidRDefault="00CF7308" w:rsidP="00D857C6">
            <w:pPr>
              <w:spacing w:line="276" w:lineRule="auto"/>
              <w:jc w:val="center"/>
            </w:pPr>
          </w:p>
        </w:tc>
        <w:tc>
          <w:tcPr>
            <w:tcW w:w="1819" w:type="dxa"/>
          </w:tcPr>
          <w:p w14:paraId="28EF7516" w14:textId="2BDF5F16" w:rsidR="00CF7308" w:rsidRDefault="00CF7308" w:rsidP="00D857C6">
            <w:pPr>
              <w:spacing w:line="276" w:lineRule="auto"/>
              <w:jc w:val="center"/>
            </w:pPr>
            <w:r>
              <w:rPr>
                <w:b/>
                <w:bCs/>
              </w:rPr>
              <w:t xml:space="preserve">Group </w:t>
            </w:r>
            <w:proofErr w:type="spellStart"/>
            <w:r>
              <w:rPr>
                <w:b/>
                <w:bCs/>
              </w:rPr>
              <w:t>P</w:t>
            </w:r>
            <w:r w:rsidR="008D32A1">
              <w:rPr>
                <w:b/>
                <w:bCs/>
              </w:rPr>
              <w:t>hM</w:t>
            </w:r>
            <w:proofErr w:type="spellEnd"/>
          </w:p>
        </w:tc>
        <w:tc>
          <w:tcPr>
            <w:tcW w:w="1819" w:type="dxa"/>
          </w:tcPr>
          <w:p w14:paraId="056B9706" w14:textId="267F1C72" w:rsidR="008D32A1" w:rsidRPr="00BF2C28" w:rsidRDefault="00CF7308" w:rsidP="008D32A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Group </w:t>
            </w:r>
            <w:proofErr w:type="spellStart"/>
            <w:r>
              <w:rPr>
                <w:b/>
                <w:bCs/>
              </w:rPr>
              <w:t>P</w:t>
            </w:r>
            <w:r w:rsidR="008D32A1">
              <w:rPr>
                <w:b/>
                <w:bCs/>
              </w:rPr>
              <w:t>h</w:t>
            </w:r>
            <w:r>
              <w:rPr>
                <w:b/>
                <w:bCs/>
              </w:rPr>
              <w:t>G</w:t>
            </w:r>
            <w:r w:rsidR="008D32A1">
              <w:rPr>
                <w:b/>
                <w:bCs/>
              </w:rPr>
              <w:t>M</w:t>
            </w:r>
            <w:proofErr w:type="spellEnd"/>
          </w:p>
        </w:tc>
        <w:tc>
          <w:tcPr>
            <w:tcW w:w="1819" w:type="dxa"/>
          </w:tcPr>
          <w:p w14:paraId="0B8D8658" w14:textId="37726166" w:rsidR="00CF7308" w:rsidRDefault="00CF7308" w:rsidP="00D857C6">
            <w:pPr>
              <w:spacing w:line="276" w:lineRule="auto"/>
              <w:jc w:val="center"/>
            </w:pPr>
            <w:r>
              <w:rPr>
                <w:b/>
                <w:bCs/>
              </w:rPr>
              <w:t xml:space="preserve">Group </w:t>
            </w:r>
            <w:proofErr w:type="spellStart"/>
            <w:r>
              <w:rPr>
                <w:b/>
                <w:bCs/>
              </w:rPr>
              <w:t>P</w:t>
            </w:r>
            <w:r w:rsidR="008D32A1">
              <w:rPr>
                <w:b/>
                <w:bCs/>
              </w:rPr>
              <w:t>hS</w:t>
            </w:r>
            <w:proofErr w:type="spellEnd"/>
          </w:p>
        </w:tc>
        <w:tc>
          <w:tcPr>
            <w:tcW w:w="1630" w:type="dxa"/>
          </w:tcPr>
          <w:p w14:paraId="4F67842E" w14:textId="46435C51" w:rsidR="00CF7308" w:rsidRDefault="00CF7308" w:rsidP="00D857C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Group </w:t>
            </w:r>
            <w:proofErr w:type="spellStart"/>
            <w:r>
              <w:rPr>
                <w:b/>
                <w:bCs/>
              </w:rPr>
              <w:t>P</w:t>
            </w:r>
            <w:r w:rsidR="008D32A1">
              <w:rPr>
                <w:b/>
                <w:bCs/>
              </w:rPr>
              <w:t>h</w:t>
            </w:r>
            <w:r>
              <w:rPr>
                <w:b/>
                <w:bCs/>
              </w:rPr>
              <w:t>G</w:t>
            </w:r>
            <w:r w:rsidR="008D32A1">
              <w:rPr>
                <w:b/>
                <w:bCs/>
              </w:rPr>
              <w:t>S</w:t>
            </w:r>
            <w:proofErr w:type="spellEnd"/>
          </w:p>
        </w:tc>
      </w:tr>
      <w:tr w:rsidR="00CF7308" w14:paraId="687ABA5E" w14:textId="77777777" w:rsidTr="00D857C6">
        <w:tc>
          <w:tcPr>
            <w:tcW w:w="1923" w:type="dxa"/>
          </w:tcPr>
          <w:p w14:paraId="23E5B2BC" w14:textId="77777777" w:rsidR="00CF7308" w:rsidRDefault="00CF7308" w:rsidP="00D857C6">
            <w:pPr>
              <w:spacing w:line="276" w:lineRule="auto"/>
              <w:jc w:val="center"/>
            </w:pPr>
            <w:r>
              <w:rPr>
                <w:b/>
                <w:bCs/>
              </w:rPr>
              <w:t>Hyphema</w:t>
            </w:r>
          </w:p>
        </w:tc>
        <w:tc>
          <w:tcPr>
            <w:tcW w:w="1819" w:type="dxa"/>
          </w:tcPr>
          <w:p w14:paraId="3E06AEF0" w14:textId="77777777" w:rsidR="00CF7308" w:rsidRDefault="00CF7308" w:rsidP="00D857C6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21720275" w14:textId="21629C1E" w:rsidR="00CF7308" w:rsidRDefault="000842E6" w:rsidP="000842E6">
            <w:pPr>
              <w:spacing w:line="276" w:lineRule="auto"/>
              <w:jc w:val="center"/>
            </w:pPr>
            <w:r w:rsidRPr="000842E6">
              <w:rPr>
                <w:lang w:val="en-EG"/>
              </w:rPr>
              <w:t>2/15 (13.3%)</w:t>
            </w:r>
          </w:p>
        </w:tc>
        <w:tc>
          <w:tcPr>
            <w:tcW w:w="1819" w:type="dxa"/>
          </w:tcPr>
          <w:p w14:paraId="2DD5111B" w14:textId="77777777" w:rsidR="00CF7308" w:rsidRDefault="00CF7308" w:rsidP="00D857C6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30" w:type="dxa"/>
          </w:tcPr>
          <w:p w14:paraId="61FE010A" w14:textId="4DF46C12" w:rsidR="00CF7308" w:rsidRDefault="000B64BC" w:rsidP="00D857C6">
            <w:pPr>
              <w:spacing w:line="276" w:lineRule="auto"/>
              <w:jc w:val="center"/>
            </w:pPr>
            <w:r>
              <w:t>6</w:t>
            </w:r>
            <w:r w:rsidR="00CF7308">
              <w:t>/15 (</w:t>
            </w:r>
            <w:r>
              <w:t>40</w:t>
            </w:r>
            <w:r w:rsidR="00CF7308">
              <w:t>%)</w:t>
            </w:r>
          </w:p>
        </w:tc>
      </w:tr>
      <w:tr w:rsidR="00CF7308" w14:paraId="4D2811F7" w14:textId="77777777" w:rsidTr="00D857C6">
        <w:tc>
          <w:tcPr>
            <w:tcW w:w="1923" w:type="dxa"/>
          </w:tcPr>
          <w:p w14:paraId="474C8AE7" w14:textId="77777777" w:rsidR="00CF7308" w:rsidRDefault="00CF7308" w:rsidP="00D857C6">
            <w:pPr>
              <w:spacing w:line="276" w:lineRule="auto"/>
              <w:jc w:val="center"/>
            </w:pPr>
            <w:r>
              <w:rPr>
                <w:b/>
                <w:bCs/>
              </w:rPr>
              <w:t>Corneal edema</w:t>
            </w:r>
          </w:p>
        </w:tc>
        <w:tc>
          <w:tcPr>
            <w:tcW w:w="1819" w:type="dxa"/>
          </w:tcPr>
          <w:p w14:paraId="5E79A931" w14:textId="77777777" w:rsidR="00CF7308" w:rsidRDefault="00CF7308" w:rsidP="00D857C6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7C5C9E81" w14:textId="77777777" w:rsidR="00CF7308" w:rsidRDefault="00CF7308" w:rsidP="00D857C6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0839B5AD" w14:textId="63A96063" w:rsidR="00CF7308" w:rsidRDefault="00EF4423" w:rsidP="00D857C6">
            <w:pPr>
              <w:spacing w:line="276" w:lineRule="auto"/>
              <w:jc w:val="center"/>
            </w:pPr>
            <w:r>
              <w:t>5/</w:t>
            </w:r>
            <w:r w:rsidR="00CF7308">
              <w:t>15 (</w:t>
            </w:r>
            <w:r>
              <w:t>30</w:t>
            </w:r>
            <w:r w:rsidR="00CF7308">
              <w:t>%)</w:t>
            </w:r>
          </w:p>
        </w:tc>
        <w:tc>
          <w:tcPr>
            <w:tcW w:w="1630" w:type="dxa"/>
          </w:tcPr>
          <w:p w14:paraId="28FB563C" w14:textId="77777777" w:rsidR="00CF7308" w:rsidRDefault="00CF7308" w:rsidP="00D857C6">
            <w:pPr>
              <w:spacing w:line="276" w:lineRule="auto"/>
              <w:jc w:val="center"/>
            </w:pPr>
            <w:r>
              <w:t>0</w:t>
            </w:r>
          </w:p>
        </w:tc>
      </w:tr>
      <w:tr w:rsidR="00CF7308" w14:paraId="5907D90F" w14:textId="77777777" w:rsidTr="00D857C6">
        <w:tc>
          <w:tcPr>
            <w:tcW w:w="1923" w:type="dxa"/>
          </w:tcPr>
          <w:p w14:paraId="1546063A" w14:textId="6261957F" w:rsidR="00CF7308" w:rsidRDefault="008A305D" w:rsidP="00D857C6">
            <w:pPr>
              <w:spacing w:line="276" w:lineRule="auto"/>
              <w:jc w:val="center"/>
            </w:pPr>
            <w:r>
              <w:rPr>
                <w:b/>
                <w:bCs/>
              </w:rPr>
              <w:t>PCO</w:t>
            </w:r>
          </w:p>
        </w:tc>
        <w:tc>
          <w:tcPr>
            <w:tcW w:w="1819" w:type="dxa"/>
          </w:tcPr>
          <w:p w14:paraId="3A699C36" w14:textId="77777777" w:rsidR="00CF7308" w:rsidRDefault="00CF7308" w:rsidP="00D857C6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819" w:type="dxa"/>
          </w:tcPr>
          <w:p w14:paraId="009AA5DA" w14:textId="34F18F9B" w:rsidR="00CF7308" w:rsidRDefault="00EF4423" w:rsidP="00D857C6">
            <w:pPr>
              <w:spacing w:line="276" w:lineRule="auto"/>
              <w:jc w:val="center"/>
            </w:pPr>
            <w:r>
              <w:t>2</w:t>
            </w:r>
            <w:r w:rsidR="00CF7308">
              <w:t>/15 (</w:t>
            </w:r>
            <w:r>
              <w:t>13.3</w:t>
            </w:r>
            <w:r w:rsidR="00CF7308">
              <w:t>%)</w:t>
            </w:r>
          </w:p>
        </w:tc>
        <w:tc>
          <w:tcPr>
            <w:tcW w:w="1819" w:type="dxa"/>
          </w:tcPr>
          <w:p w14:paraId="47D954B1" w14:textId="77777777" w:rsidR="00CF7308" w:rsidRDefault="00CF7308" w:rsidP="00D857C6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30" w:type="dxa"/>
          </w:tcPr>
          <w:p w14:paraId="7792E27D" w14:textId="77777777" w:rsidR="00CF7308" w:rsidRDefault="00CF7308" w:rsidP="00D857C6">
            <w:pPr>
              <w:spacing w:line="276" w:lineRule="auto"/>
              <w:jc w:val="center"/>
            </w:pPr>
            <w:r>
              <w:t>0</w:t>
            </w:r>
          </w:p>
        </w:tc>
      </w:tr>
    </w:tbl>
    <w:p w14:paraId="1D1EF3D6" w14:textId="27F6C989" w:rsidR="00CF7308" w:rsidRDefault="00CF7308" w:rsidP="00CF7308">
      <w:pPr>
        <w:spacing w:line="276" w:lineRule="auto"/>
        <w:jc w:val="center"/>
      </w:pPr>
      <w:r w:rsidRPr="00445413">
        <w:rPr>
          <w:b/>
          <w:bCs/>
        </w:rPr>
        <w:t>Table (</w:t>
      </w:r>
      <w:r>
        <w:rPr>
          <w:b/>
          <w:bCs/>
        </w:rPr>
        <w:t>5</w:t>
      </w:r>
      <w:r w:rsidRPr="00445413">
        <w:rPr>
          <w:b/>
          <w:bCs/>
        </w:rPr>
        <w:t>)</w:t>
      </w:r>
      <w:r>
        <w:t xml:space="preserve"> postoperative complications in the </w:t>
      </w:r>
      <w:r w:rsidR="00456B7C">
        <w:t>four</w:t>
      </w:r>
      <w:r>
        <w:t xml:space="preserve"> groups.</w:t>
      </w:r>
    </w:p>
    <w:p w14:paraId="419E4A10" w14:textId="4006BEFE" w:rsidR="008A305D" w:rsidRDefault="008A305D" w:rsidP="00CF7308">
      <w:pPr>
        <w:spacing w:line="276" w:lineRule="auto"/>
        <w:jc w:val="center"/>
      </w:pPr>
      <w:r w:rsidRPr="008A305D">
        <w:rPr>
          <w:b/>
          <w:bCs/>
        </w:rPr>
        <w:t>PCO</w:t>
      </w:r>
      <w:r>
        <w:t xml:space="preserve"> (Posterior Capsule Opacification)</w:t>
      </w:r>
    </w:p>
    <w:p w14:paraId="477D14FC" w14:textId="77777777" w:rsidR="00CF7308" w:rsidRPr="005E792A" w:rsidRDefault="00CF7308" w:rsidP="00CF7308"/>
    <w:p w14:paraId="6414D489" w14:textId="77777777" w:rsidR="00CF7308" w:rsidRDefault="00CF7308" w:rsidP="00B57769">
      <w:pPr>
        <w:spacing w:line="480" w:lineRule="auto"/>
        <w:jc w:val="both"/>
        <w:rPr>
          <w:rFonts w:cstheme="minorHAnsi"/>
          <w:sz w:val="32"/>
          <w:szCs w:val="32"/>
        </w:rPr>
      </w:pPr>
    </w:p>
    <w:p w14:paraId="259A8B36" w14:textId="77777777" w:rsidR="00664D3C" w:rsidRDefault="00664D3C" w:rsidP="00664D3C">
      <w:pPr>
        <w:spacing w:before="100" w:beforeAutospacing="1" w:after="100" w:afterAutospacing="1" w:line="480" w:lineRule="auto"/>
        <w:ind w:firstLine="567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References:</w:t>
      </w:r>
    </w:p>
    <w:p w14:paraId="24C8DB70" w14:textId="379B4A0B" w:rsidR="00AC7BA5" w:rsidRPr="00AC7BA5" w:rsidRDefault="00AC7BA5" w:rsidP="00AC7BA5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en-EG"/>
        </w:rPr>
      </w:pPr>
      <w:r w:rsidRPr="00AC7BA5">
        <w:rPr>
          <w:rFonts w:asciiTheme="majorBidi" w:hAnsiTheme="majorBidi" w:cstheme="majorBidi"/>
          <w:color w:val="000000" w:themeColor="text1"/>
          <w:sz w:val="28"/>
          <w:szCs w:val="28"/>
          <w:lang w:val="en-EG"/>
        </w:rPr>
        <w:t>Alaghband P, Beltran-Agulló L, Galvis EA</w:t>
      </w:r>
      <w:r w:rsidRPr="00AC7BA5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EG"/>
        </w:rPr>
        <w:t xml:space="preserve">,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Overby DR, and Lim KS. </w:t>
      </w:r>
      <w:r w:rsidRPr="00AC7BA5">
        <w:rPr>
          <w:rFonts w:asciiTheme="majorBidi" w:hAnsiTheme="majorBidi" w:cstheme="majorBidi"/>
          <w:color w:val="000000" w:themeColor="text1"/>
          <w:sz w:val="28"/>
          <w:szCs w:val="28"/>
          <w:lang w:val="en-EG"/>
        </w:rPr>
        <w:t>Effect of phacoemulsification on facility of outflow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AC7BA5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EG"/>
        </w:rPr>
        <w:t>British Journal of Ophthalmology </w:t>
      </w:r>
      <w:r w:rsidRPr="00AC7BA5">
        <w:rPr>
          <w:rFonts w:asciiTheme="majorBidi" w:hAnsiTheme="majorBidi" w:cstheme="majorBidi"/>
          <w:color w:val="000000" w:themeColor="text1"/>
          <w:sz w:val="28"/>
          <w:szCs w:val="28"/>
          <w:lang w:val="en-EG"/>
        </w:rPr>
        <w:t>2018;</w:t>
      </w:r>
      <w:r w:rsidRPr="00AC7BA5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val="en-EG"/>
        </w:rPr>
        <w:t>102:</w:t>
      </w:r>
      <w:r w:rsidRPr="00AC7BA5">
        <w:rPr>
          <w:rFonts w:asciiTheme="majorBidi" w:hAnsiTheme="majorBidi" w:cstheme="majorBidi"/>
          <w:color w:val="000000" w:themeColor="text1"/>
          <w:sz w:val="28"/>
          <w:szCs w:val="28"/>
          <w:lang w:val="en-EG"/>
        </w:rPr>
        <w:t>1520-1526.</w:t>
      </w:r>
    </w:p>
    <w:p w14:paraId="381C11DD" w14:textId="77777777" w:rsidR="00AC7BA5" w:rsidRPr="00AC7BA5" w:rsidRDefault="00AC7BA5" w:rsidP="00AC7BA5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en-EG"/>
        </w:rPr>
      </w:pPr>
      <w:r w:rsidRPr="00AC7BA5">
        <w:rPr>
          <w:rFonts w:asciiTheme="majorBidi" w:hAnsiTheme="majorBidi" w:cstheme="majorBidi"/>
          <w:color w:val="000000" w:themeColor="text1"/>
          <w:sz w:val="28"/>
          <w:szCs w:val="28"/>
          <w:lang w:val="en-EG"/>
        </w:rPr>
        <w:t>James Andrew David, Jamie Anh Tran, Christopher Grenier, Michael Morgan, Zhide Fang, Lena J Al-Dujaili; Outcomes of Cataract Extraction with Kahook Dual Blade Goniotomy Versus iStent Trabecular Micro-</w:t>
      </w:r>
      <w:r w:rsidRPr="00AC7BA5">
        <w:rPr>
          <w:rFonts w:asciiTheme="majorBidi" w:hAnsiTheme="majorBidi" w:cstheme="majorBidi"/>
          <w:color w:val="000000" w:themeColor="text1"/>
          <w:sz w:val="28"/>
          <w:szCs w:val="28"/>
          <w:lang w:val="en-EG"/>
        </w:rPr>
        <w:lastRenderedPageBreak/>
        <w:t>Bypass Device With Minimum Two Year Follow-Up. </w:t>
      </w:r>
      <w:r w:rsidRPr="00AC7BA5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EG"/>
        </w:rPr>
        <w:t>Invest. Ophthalmol. Vis. Sci.</w:t>
      </w:r>
      <w:r w:rsidRPr="00AC7BA5">
        <w:rPr>
          <w:rFonts w:asciiTheme="majorBidi" w:hAnsiTheme="majorBidi" w:cstheme="majorBidi"/>
          <w:color w:val="000000" w:themeColor="text1"/>
          <w:sz w:val="28"/>
          <w:szCs w:val="28"/>
          <w:lang w:val="en-EG"/>
        </w:rPr>
        <w:t> 2021;62(8):3444.</w:t>
      </w:r>
    </w:p>
    <w:p w14:paraId="566BA14C" w14:textId="77777777" w:rsidR="00AC7BA5" w:rsidRPr="00AC7BA5" w:rsidRDefault="00AC7BA5" w:rsidP="00AC7BA5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EG"/>
        </w:rPr>
      </w:pPr>
      <w:r w:rsidRPr="00AC7BA5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Samuelson TW, Chang DF</w:t>
      </w:r>
      <w:r w:rsidR="00664D3C" w:rsidRPr="00AC7BA5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, </w:t>
      </w:r>
      <w:r w:rsidRPr="00AC7BA5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Marquis R, Crandall AS, and Singh K</w:t>
      </w:r>
      <w:r w:rsidR="00664D3C" w:rsidRPr="00AC7BA5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. </w:t>
      </w:r>
      <w:r w:rsidRPr="00AC7BA5">
        <w:rPr>
          <w:rFonts w:asciiTheme="majorBidi" w:eastAsia="Times New Roman" w:hAnsiTheme="majorBidi"/>
          <w:color w:val="000000" w:themeColor="text1"/>
          <w:sz w:val="28"/>
          <w:szCs w:val="28"/>
          <w:lang w:val="en-EG"/>
        </w:rPr>
        <w:t>A Schlemm Canal Microstent for Intraocular Pressure Reduction in Primary Open-Angle Glaucoma and Cataract</w:t>
      </w:r>
      <w:r w:rsidRPr="00AC7BA5">
        <w:rPr>
          <w:rFonts w:asciiTheme="majorBidi" w:eastAsia="Times New Roman" w:hAnsiTheme="majorBidi"/>
          <w:color w:val="000000" w:themeColor="text1"/>
          <w:sz w:val="28"/>
          <w:szCs w:val="28"/>
        </w:rPr>
        <w:t xml:space="preserve"> </w:t>
      </w:r>
      <w:r w:rsidRPr="00AC7BA5">
        <w:rPr>
          <w:rFonts w:asciiTheme="majorBidi" w:hAnsiTheme="majorBidi" w:cstheme="majorBidi"/>
          <w:color w:val="000000" w:themeColor="text1"/>
          <w:sz w:val="28"/>
          <w:szCs w:val="28"/>
          <w:lang w:val="en-EG"/>
        </w:rPr>
        <w:t>The HORIZON Study</w:t>
      </w:r>
      <w:r w:rsidRPr="00AC7BA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AC7BA5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EG"/>
        </w:rPr>
        <w:t>Ophthalmology. 2019 01; 126(1):29-37</w:t>
      </w:r>
    </w:p>
    <w:p w14:paraId="042309C4" w14:textId="22C03E4C" w:rsidR="00802263" w:rsidRPr="00802263" w:rsidRDefault="00802263" w:rsidP="00802263">
      <w:pPr>
        <w:pStyle w:val="NormalWeb"/>
        <w:numPr>
          <w:ilvl w:val="0"/>
          <w:numId w:val="1"/>
        </w:numPr>
        <w:spacing w:line="480" w:lineRule="auto"/>
        <w:jc w:val="both"/>
        <w:rPr>
          <w:rFonts w:asciiTheme="majorBidi" w:eastAsiaTheme="minorHAnsi" w:hAnsiTheme="majorBidi" w:cstheme="majorBidi"/>
          <w:color w:val="000000" w:themeColor="text1"/>
          <w:sz w:val="28"/>
          <w:szCs w:val="28"/>
          <w:lang w:val="en-EG"/>
        </w:rPr>
      </w:pPr>
      <w:r w:rsidRPr="00802263">
        <w:rPr>
          <w:rFonts w:asciiTheme="majorBidi" w:eastAsiaTheme="minorHAnsi" w:hAnsiTheme="majorBidi" w:cstheme="majorBidi"/>
          <w:color w:val="000000" w:themeColor="text1"/>
          <w:sz w:val="28"/>
          <w:szCs w:val="28"/>
          <w:lang w:val="en-EG"/>
        </w:rPr>
        <w:t>Faith A. Birnbaum, Cameron Neeson</w:t>
      </w:r>
      <w:r>
        <w:rPr>
          <w:rFonts w:asciiTheme="majorBidi" w:eastAsiaTheme="minorHAnsi" w:hAnsiTheme="majorBidi" w:cstheme="majorBidi"/>
          <w:color w:val="000000" w:themeColor="text1"/>
          <w:sz w:val="28"/>
          <w:szCs w:val="28"/>
        </w:rPr>
        <w:t xml:space="preserve"> and</w:t>
      </w:r>
      <w:r w:rsidRPr="00802263">
        <w:rPr>
          <w:rFonts w:asciiTheme="majorBidi" w:eastAsiaTheme="minorHAnsi" w:hAnsiTheme="majorBidi" w:cstheme="majorBidi"/>
          <w:color w:val="000000" w:themeColor="text1"/>
          <w:sz w:val="28"/>
          <w:szCs w:val="28"/>
          <w:lang w:val="en-EG"/>
        </w:rPr>
        <w:t xml:space="preserve"> David Solá-Del Valle</w:t>
      </w:r>
      <w:r>
        <w:rPr>
          <w:rFonts w:asciiTheme="majorBidi" w:eastAsiaTheme="minorHAnsi" w:hAnsiTheme="majorBidi" w:cstheme="majorBidi"/>
          <w:color w:val="000000" w:themeColor="text1"/>
          <w:sz w:val="28"/>
          <w:szCs w:val="28"/>
        </w:rPr>
        <w:t>.</w:t>
      </w:r>
      <w:r w:rsidRPr="00802263">
        <w:rPr>
          <w:rFonts w:asciiTheme="majorBidi" w:eastAsiaTheme="minorHAnsi" w:hAnsiTheme="majorBidi" w:cstheme="majorBidi"/>
          <w:color w:val="000000" w:themeColor="text1"/>
          <w:sz w:val="28"/>
          <w:szCs w:val="28"/>
          <w:lang w:val="en-EG"/>
        </w:rPr>
        <w:t> Microinvasive Glaucoma Surgery: An Evidence-Based Review, Seminars in Ophthalmology</w:t>
      </w:r>
      <w:r>
        <w:rPr>
          <w:rFonts w:asciiTheme="majorBidi" w:eastAsiaTheme="minorHAnsi" w:hAnsiTheme="majorBidi" w:cstheme="majorBidi"/>
          <w:color w:val="000000" w:themeColor="text1"/>
          <w:sz w:val="28"/>
          <w:szCs w:val="28"/>
        </w:rPr>
        <w:t xml:space="preserve">. 2021 </w:t>
      </w:r>
      <w:r w:rsidRPr="00802263">
        <w:rPr>
          <w:rFonts w:asciiTheme="majorBidi" w:eastAsiaTheme="minorHAnsi" w:hAnsiTheme="majorBidi" w:cstheme="majorBidi"/>
          <w:color w:val="000000" w:themeColor="text1"/>
          <w:sz w:val="28"/>
          <w:szCs w:val="28"/>
          <w:lang w:val="en-EG"/>
        </w:rPr>
        <w:t>36:8, 772-786, DOI: </w:t>
      </w:r>
      <w:r w:rsidRPr="00802263">
        <w:rPr>
          <w:rFonts w:asciiTheme="majorBidi" w:eastAsiaTheme="minorHAnsi" w:hAnsiTheme="majorBidi" w:cstheme="majorBidi"/>
          <w:color w:val="000000" w:themeColor="text1"/>
          <w:sz w:val="28"/>
          <w:szCs w:val="28"/>
          <w:lang w:val="en-EG"/>
        </w:rPr>
        <w:fldChar w:fldCharType="begin"/>
      </w:r>
      <w:r w:rsidRPr="00802263">
        <w:rPr>
          <w:rFonts w:asciiTheme="majorBidi" w:eastAsiaTheme="minorHAnsi" w:hAnsiTheme="majorBidi" w:cstheme="majorBidi"/>
          <w:color w:val="000000" w:themeColor="text1"/>
          <w:sz w:val="28"/>
          <w:szCs w:val="28"/>
          <w:lang w:val="en-EG"/>
        </w:rPr>
        <w:instrText xml:space="preserve"> HYPERLINK "https://doi.org/10.1080/08820538.2021.1903513" </w:instrText>
      </w:r>
      <w:r w:rsidRPr="00802263">
        <w:rPr>
          <w:rFonts w:asciiTheme="majorBidi" w:eastAsiaTheme="minorHAnsi" w:hAnsiTheme="majorBidi" w:cstheme="majorBidi"/>
          <w:color w:val="000000" w:themeColor="text1"/>
          <w:sz w:val="28"/>
          <w:szCs w:val="28"/>
          <w:lang w:val="en-EG"/>
        </w:rPr>
      </w:r>
      <w:r w:rsidRPr="00802263">
        <w:rPr>
          <w:rFonts w:asciiTheme="majorBidi" w:eastAsiaTheme="minorHAnsi" w:hAnsiTheme="majorBidi" w:cstheme="majorBidi"/>
          <w:color w:val="000000" w:themeColor="text1"/>
          <w:sz w:val="28"/>
          <w:szCs w:val="28"/>
          <w:lang w:val="en-EG"/>
        </w:rPr>
        <w:fldChar w:fldCharType="separate"/>
      </w:r>
      <w:r w:rsidRPr="00802263">
        <w:rPr>
          <w:rStyle w:val="Hyperlink"/>
          <w:rFonts w:asciiTheme="majorBidi" w:eastAsiaTheme="minorHAnsi" w:hAnsiTheme="majorBidi" w:cstheme="majorBidi"/>
          <w:sz w:val="28"/>
          <w:szCs w:val="28"/>
          <w:lang w:val="en-EG"/>
        </w:rPr>
        <w:t>10.1080/08820538.2021.1903513</w:t>
      </w:r>
      <w:r w:rsidRPr="00802263">
        <w:rPr>
          <w:rFonts w:asciiTheme="majorBidi" w:eastAsiaTheme="minorHAnsi" w:hAnsiTheme="majorBidi" w:cstheme="majorBidi"/>
          <w:color w:val="000000" w:themeColor="text1"/>
          <w:sz w:val="28"/>
          <w:szCs w:val="28"/>
        </w:rPr>
        <w:fldChar w:fldCharType="end"/>
      </w:r>
    </w:p>
    <w:p w14:paraId="37E8DB3D" w14:textId="3051BD19" w:rsidR="00802263" w:rsidRPr="00802263" w:rsidRDefault="00802263" w:rsidP="00802263">
      <w:pPr>
        <w:pStyle w:val="NormalWeb"/>
        <w:numPr>
          <w:ilvl w:val="0"/>
          <w:numId w:val="1"/>
        </w:numPr>
        <w:spacing w:line="480" w:lineRule="auto"/>
        <w:jc w:val="both"/>
        <w:rPr>
          <w:rFonts w:asciiTheme="majorBidi" w:eastAsiaTheme="minorHAnsi" w:hAnsiTheme="majorBidi" w:cstheme="majorBidi"/>
          <w:color w:val="000000" w:themeColor="text1"/>
          <w:sz w:val="28"/>
          <w:szCs w:val="28"/>
          <w:lang w:val="en-EG"/>
        </w:rPr>
      </w:pPr>
      <w:proofErr w:type="spellStart"/>
      <w:r w:rsidRPr="00802263">
        <w:rPr>
          <w:rFonts w:asciiTheme="majorBidi" w:hAnsiTheme="majorBidi" w:cstheme="majorBidi"/>
          <w:color w:val="000000" w:themeColor="text1"/>
          <w:sz w:val="28"/>
          <w:szCs w:val="28"/>
        </w:rPr>
        <w:t>Jabłońska</w:t>
      </w:r>
      <w:proofErr w:type="spellEnd"/>
      <w:r w:rsidRPr="0080226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J., </w:t>
      </w:r>
      <w:proofErr w:type="spellStart"/>
      <w:r w:rsidRPr="00802263">
        <w:rPr>
          <w:rFonts w:asciiTheme="majorBidi" w:hAnsiTheme="majorBidi" w:cstheme="majorBidi"/>
          <w:color w:val="000000" w:themeColor="text1"/>
          <w:sz w:val="28"/>
          <w:szCs w:val="28"/>
        </w:rPr>
        <w:t>Lewczuk</w:t>
      </w:r>
      <w:proofErr w:type="spellEnd"/>
      <w:r w:rsidRPr="0080226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K., </w:t>
      </w:r>
      <w:proofErr w:type="spellStart"/>
      <w:r w:rsidRPr="00802263">
        <w:rPr>
          <w:rFonts w:asciiTheme="majorBidi" w:hAnsiTheme="majorBidi" w:cstheme="majorBidi"/>
          <w:color w:val="000000" w:themeColor="text1"/>
          <w:sz w:val="28"/>
          <w:szCs w:val="28"/>
        </w:rPr>
        <w:t>Konopińska</w:t>
      </w:r>
      <w:proofErr w:type="spellEnd"/>
      <w:r w:rsidRPr="0080226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J., </w:t>
      </w:r>
      <w:proofErr w:type="spellStart"/>
      <w:r w:rsidRPr="00802263">
        <w:rPr>
          <w:rFonts w:asciiTheme="majorBidi" w:hAnsiTheme="majorBidi" w:cstheme="majorBidi"/>
          <w:color w:val="000000" w:themeColor="text1"/>
          <w:sz w:val="28"/>
          <w:szCs w:val="28"/>
        </w:rPr>
        <w:t>Mariak</w:t>
      </w:r>
      <w:proofErr w:type="spellEnd"/>
      <w:r w:rsidRPr="0080226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Z. and </w:t>
      </w:r>
      <w:proofErr w:type="spellStart"/>
      <w:r w:rsidRPr="00802263">
        <w:rPr>
          <w:rFonts w:asciiTheme="majorBidi" w:hAnsiTheme="majorBidi" w:cstheme="majorBidi"/>
          <w:color w:val="000000" w:themeColor="text1"/>
          <w:sz w:val="28"/>
          <w:szCs w:val="28"/>
        </w:rPr>
        <w:t>Rękas</w:t>
      </w:r>
      <w:proofErr w:type="spellEnd"/>
      <w:r w:rsidRPr="0080226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M. Microinvasive glaucoma surgery: a review and classification of implant-dependent procedures and techniques. Acta </w:t>
      </w:r>
      <w:proofErr w:type="spellStart"/>
      <w:r w:rsidRPr="00802263">
        <w:rPr>
          <w:rFonts w:asciiTheme="majorBidi" w:hAnsiTheme="majorBidi" w:cstheme="majorBidi"/>
          <w:color w:val="000000" w:themeColor="text1"/>
          <w:sz w:val="28"/>
          <w:szCs w:val="28"/>
        </w:rPr>
        <w:t>Ophthalmol</w:t>
      </w:r>
      <w:proofErr w:type="spellEnd"/>
      <w:r w:rsidRPr="0080226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2022 </w:t>
      </w:r>
      <w:r w:rsidRPr="0080226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100: e327-e338. https://doi.org/10.1111/aos.14906 </w:t>
      </w:r>
    </w:p>
    <w:p w14:paraId="33F25734" w14:textId="39CDFB89" w:rsidR="00DA5379" w:rsidRDefault="00DA5379" w:rsidP="00664D3C">
      <w:pPr>
        <w:pStyle w:val="NormalWeb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A537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Moussa, George &amp; Pandey, Pravin &amp; </w:t>
      </w:r>
      <w:proofErr w:type="spellStart"/>
      <w:r w:rsidRPr="00DA5379">
        <w:rPr>
          <w:rFonts w:asciiTheme="majorBidi" w:hAnsiTheme="majorBidi" w:cstheme="majorBidi"/>
          <w:color w:val="000000" w:themeColor="text1"/>
          <w:sz w:val="28"/>
          <w:szCs w:val="28"/>
        </w:rPr>
        <w:t>Panthagani</w:t>
      </w:r>
      <w:proofErr w:type="spellEnd"/>
      <w:r w:rsidRPr="00DA537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Jesse &amp; </w:t>
      </w:r>
      <w:proofErr w:type="spellStart"/>
      <w:r w:rsidRPr="00DA5379">
        <w:rPr>
          <w:rFonts w:asciiTheme="majorBidi" w:hAnsiTheme="majorBidi" w:cstheme="majorBidi"/>
          <w:color w:val="000000" w:themeColor="text1"/>
          <w:sz w:val="28"/>
          <w:szCs w:val="28"/>
        </w:rPr>
        <w:t>Kutubi</w:t>
      </w:r>
      <w:proofErr w:type="spellEnd"/>
      <w:r w:rsidRPr="00DA537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Muhammad &amp; Masood, Imran. (2020). Phacoemulsification with Trabecular micro-bypass stents in complex and moderate to advanced glaucoma: 3-year outcomes. 10.37532/AACOVS.2020.4(1).222-228. </w:t>
      </w:r>
    </w:p>
    <w:p w14:paraId="14BB1E21" w14:textId="77777777" w:rsidR="00DA5379" w:rsidRPr="00DA5379" w:rsidRDefault="00DA5379" w:rsidP="00DA5379">
      <w:pPr>
        <w:pStyle w:val="NormalWeb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en-EG"/>
        </w:rPr>
      </w:pPr>
      <w:r w:rsidRPr="00DA5379">
        <w:rPr>
          <w:rFonts w:asciiTheme="majorBidi" w:hAnsiTheme="majorBidi" w:cstheme="majorBidi"/>
          <w:color w:val="000000" w:themeColor="text1"/>
          <w:sz w:val="28"/>
          <w:szCs w:val="28"/>
          <w:lang w:val="en-EG"/>
        </w:rPr>
        <w:t xml:space="preserve">Ferguson TJ, Berdahl JP, Schweitzer JA, Sudhagoni RG. Clinical evaluation of a trabecular microbypass stent with phacoemulsification in patients with open-angle glaucoma and cataract. Clin Ophthalmol. 2016 Sep </w:t>
      </w:r>
      <w:r w:rsidRPr="00DA5379">
        <w:rPr>
          <w:rFonts w:asciiTheme="majorBidi" w:hAnsiTheme="majorBidi" w:cstheme="majorBidi"/>
          <w:color w:val="000000" w:themeColor="text1"/>
          <w:sz w:val="28"/>
          <w:szCs w:val="28"/>
          <w:lang w:val="en-EG"/>
        </w:rPr>
        <w:lastRenderedPageBreak/>
        <w:t>14;10:1767-1773. doi: 10.2147/OPTH.S114306. PMID: 27695280; PMCID: PMC5028087.</w:t>
      </w:r>
    </w:p>
    <w:p w14:paraId="03D779EC" w14:textId="5F86E7E7" w:rsidR="00DA5379" w:rsidRPr="00DA5379" w:rsidRDefault="00DA5379" w:rsidP="00DA5379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en-EG"/>
        </w:rPr>
      </w:pPr>
      <w:r w:rsidRPr="00DA5379">
        <w:rPr>
          <w:rFonts w:asciiTheme="majorBidi" w:hAnsiTheme="majorBidi" w:cstheme="majorBidi"/>
          <w:color w:val="000000" w:themeColor="text1"/>
          <w:sz w:val="28"/>
          <w:szCs w:val="28"/>
          <w:lang w:val="en-EG"/>
        </w:rPr>
        <w:t>Miguel A Teus, Jose I Belda, Cosme Lavín, Julián GarcÃ</w:t>
      </w:r>
      <w:r w:rsidRPr="00DA5379">
        <w:rPr>
          <w:rFonts w:asciiTheme="majorBidi" w:hAnsiTheme="majorBidi" w:cstheme="majorBidi"/>
          <w:color w:val="000000" w:themeColor="text1"/>
          <w:sz w:val="28"/>
          <w:szCs w:val="28"/>
          <w:lang w:val="en-EG"/>
        </w:rPr>
        <w:softHyphen/>
        <w:t>a-FeijoÃ, H Falvey, Giorgio Buseghin, María Soler &amp; Marilena Appierto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Pr="00DA5379">
        <w:rPr>
          <w:rFonts w:asciiTheme="majorBidi" w:hAnsiTheme="majorBidi" w:cstheme="majorBidi"/>
          <w:color w:val="000000" w:themeColor="text1"/>
          <w:sz w:val="28"/>
          <w:szCs w:val="28"/>
          <w:lang w:val="en-EG"/>
        </w:rPr>
        <w:t> Cost-effectiveness analysis of iStent Inject® implantation during cataract surgery compared to cataract surgery alone for mild to moderate open-angle glaucoma patients in Spain, Expert Review of Ophthalmology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2021 </w:t>
      </w:r>
      <w:r w:rsidRPr="00DA5379">
        <w:rPr>
          <w:rFonts w:asciiTheme="majorBidi" w:hAnsiTheme="majorBidi" w:cstheme="majorBidi"/>
          <w:color w:val="000000" w:themeColor="text1"/>
          <w:sz w:val="28"/>
          <w:szCs w:val="28"/>
          <w:lang w:val="en-EG"/>
        </w:rPr>
        <w:t>16:4, 319-328, </w:t>
      </w:r>
      <w:r w:rsidRPr="00DA537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EG"/>
        </w:rPr>
        <w:t>DOI: </w:t>
      </w:r>
      <w:r w:rsidRPr="00DA537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EG"/>
        </w:rPr>
        <w:fldChar w:fldCharType="begin"/>
      </w:r>
      <w:r w:rsidRPr="00DA537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EG"/>
        </w:rPr>
        <w:instrText xml:space="preserve"> HYPERLINK "https://doi.org/10.1080/17469899.2021.1939685" </w:instrText>
      </w:r>
      <w:r w:rsidRPr="00DA537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EG"/>
        </w:rPr>
      </w:r>
      <w:r w:rsidRPr="00DA537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EG"/>
        </w:rPr>
        <w:fldChar w:fldCharType="separate"/>
      </w:r>
      <w:r w:rsidRPr="00DA5379">
        <w:rPr>
          <w:rStyle w:val="Hyperlink"/>
          <w:rFonts w:asciiTheme="majorBidi" w:hAnsiTheme="majorBidi" w:cstheme="majorBidi"/>
          <w:sz w:val="28"/>
          <w:szCs w:val="28"/>
          <w:lang w:val="en-EG"/>
        </w:rPr>
        <w:t>10.1080/17469899.2021.1939685</w:t>
      </w:r>
      <w:r w:rsidRPr="00DA537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fldChar w:fldCharType="end"/>
      </w:r>
    </w:p>
    <w:p w14:paraId="7F37406D" w14:textId="77777777" w:rsidR="00DA5379" w:rsidRPr="00DA5379" w:rsidRDefault="00DA5379" w:rsidP="00DA5379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en-EG"/>
        </w:rPr>
      </w:pPr>
      <w:r w:rsidRPr="00DA5379">
        <w:rPr>
          <w:rFonts w:asciiTheme="majorBidi" w:hAnsiTheme="majorBidi" w:cstheme="majorBidi"/>
          <w:color w:val="000000" w:themeColor="text1"/>
          <w:sz w:val="28"/>
          <w:szCs w:val="28"/>
          <w:lang w:val="en-EG"/>
        </w:rPr>
        <w:t>Maria Katharina Casagrande, Leonie Meier, Sanaz Farrokhi, Martin Spitzer, Maren Klemm; Effect of the Hydrus microstent with combined phacoemulsification on intraocular pressure. </w:t>
      </w:r>
      <w:r w:rsidRPr="00DA5379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EG"/>
        </w:rPr>
        <w:t>Invest. Ophthalmol. Vis. Sci.</w:t>
      </w:r>
      <w:r w:rsidRPr="00DA5379">
        <w:rPr>
          <w:rFonts w:asciiTheme="majorBidi" w:hAnsiTheme="majorBidi" w:cstheme="majorBidi"/>
          <w:color w:val="000000" w:themeColor="text1"/>
          <w:sz w:val="28"/>
          <w:szCs w:val="28"/>
          <w:lang w:val="en-EG"/>
        </w:rPr>
        <w:t> 2019;60(9):3740.</w:t>
      </w:r>
    </w:p>
    <w:p w14:paraId="7FF5D12F" w14:textId="2BD4AB81" w:rsidR="00DA5379" w:rsidRPr="00DA5379" w:rsidRDefault="00664D3C" w:rsidP="00DA5379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en-EG"/>
        </w:rPr>
      </w:pPr>
      <w:r w:rsidRPr="00DA537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  <w:r w:rsidR="00DA5379" w:rsidRPr="00DA5379">
        <w:rPr>
          <w:rFonts w:asciiTheme="majorBidi" w:hAnsiTheme="majorBidi" w:cstheme="majorBidi"/>
          <w:color w:val="000000" w:themeColor="text1"/>
          <w:sz w:val="28"/>
          <w:szCs w:val="28"/>
          <w:lang w:val="en-EG"/>
        </w:rPr>
        <w:t>Michael Robert McFarland. Long Term Efficacy of a Supraciliary Micro-stent Combined with Cataract Surgery in the Treatment of Glaucoma. Master's thesis. Nova Southeastern University. Retrieved from NSUWorks, College of Optometry.</w:t>
      </w:r>
      <w:r w:rsidR="00DA537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2019 </w:t>
      </w:r>
      <w:r w:rsidR="00DA5379" w:rsidRPr="00DA5379">
        <w:rPr>
          <w:rFonts w:asciiTheme="majorBidi" w:hAnsiTheme="majorBidi" w:cstheme="majorBidi"/>
          <w:color w:val="000000" w:themeColor="text1"/>
          <w:sz w:val="28"/>
          <w:szCs w:val="28"/>
          <w:lang w:val="en-EG"/>
        </w:rPr>
        <w:t xml:space="preserve">https://nsuworks.nova.edu/hpd_opt_stuetd/14. </w:t>
      </w:r>
    </w:p>
    <w:p w14:paraId="0C1EC110" w14:textId="77777777" w:rsidR="001A03C0" w:rsidRPr="001A03C0" w:rsidRDefault="001A03C0" w:rsidP="001A03C0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en-EG"/>
        </w:rPr>
      </w:pPr>
      <w:r w:rsidRPr="001A03C0">
        <w:rPr>
          <w:rFonts w:asciiTheme="majorBidi" w:hAnsiTheme="majorBidi" w:cstheme="majorBidi"/>
          <w:color w:val="000000" w:themeColor="text1"/>
          <w:sz w:val="28"/>
          <w:szCs w:val="28"/>
          <w:lang w:val="en-EG"/>
        </w:rPr>
        <w:t>Kaushik, Sushmita</w:t>
      </w:r>
      <w:r w:rsidRPr="001A03C0">
        <w:rPr>
          <w:rFonts w:asciiTheme="majorBidi" w:hAnsiTheme="majorBidi" w:cstheme="majorBidi"/>
          <w:color w:val="000000" w:themeColor="text1"/>
          <w:sz w:val="28"/>
          <w:szCs w:val="28"/>
          <w:vertAlign w:val="superscript"/>
          <w:lang w:val="en-EG"/>
        </w:rPr>
        <w:t>,</w:t>
      </w:r>
      <w:r w:rsidRPr="001A03C0">
        <w:rPr>
          <w:rFonts w:asciiTheme="majorBidi" w:hAnsiTheme="majorBidi" w:cstheme="majorBidi"/>
          <w:color w:val="000000" w:themeColor="text1"/>
          <w:sz w:val="28"/>
          <w:szCs w:val="28"/>
          <w:lang w:val="en-EG"/>
        </w:rPr>
        <w:t>; Gupta, Gaurav; Thattaruthody, Faisal; Dhingra, Deepika; Kumari, Kiran; Arora, Atul; Snehi, Sagarika; Raj, Srishti; Pandav, Surinder S Goniotomy for initial and re-surgery for childhood glaucoma in Northern India, Indian Journal of Ophthalmology: August 2021 - Volume 69 - Issue 8 - p 2088-2094 doi: 10.4103/ijo.IJO_3305_20</w:t>
      </w:r>
    </w:p>
    <w:p w14:paraId="32C48797" w14:textId="4E3988D4" w:rsidR="001A03C0" w:rsidRPr="001A03C0" w:rsidRDefault="001A03C0" w:rsidP="007500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en-EG"/>
        </w:rPr>
      </w:pPr>
      <w:r w:rsidRPr="001A03C0">
        <w:rPr>
          <w:rFonts w:asciiTheme="majorBidi" w:hAnsiTheme="majorBidi" w:cstheme="majorBidi"/>
          <w:color w:val="000000" w:themeColor="text1"/>
          <w:sz w:val="28"/>
          <w:szCs w:val="28"/>
          <w:lang w:val="en-EG"/>
        </w:rPr>
        <w:lastRenderedPageBreak/>
        <w:t>Mohammed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S</w:t>
      </w:r>
      <w:r w:rsidRPr="001A03C0">
        <w:rPr>
          <w:rFonts w:asciiTheme="majorBidi" w:hAnsiTheme="majorBidi" w:cstheme="majorBidi"/>
          <w:color w:val="000000" w:themeColor="text1"/>
          <w:sz w:val="28"/>
          <w:szCs w:val="28"/>
          <w:lang w:val="en-EG"/>
        </w:rPr>
        <w:t xml:space="preserve">aleh A, Raffa L H, Almarzouki N, </w:t>
      </w:r>
      <w:proofErr w:type="spellStart"/>
      <w:r>
        <w:rPr>
          <w:rFonts w:asciiTheme="majorBidi" w:hAnsiTheme="majorBidi" w:cstheme="majorBidi"/>
          <w:color w:val="000000" w:themeColor="text1"/>
          <w:sz w:val="28"/>
          <w:szCs w:val="28"/>
        </w:rPr>
        <w:t>Jubran</w:t>
      </w:r>
      <w:proofErr w:type="spell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RM, AL Harbi A, </w:t>
      </w:r>
      <w:proofErr w:type="spellStart"/>
      <w:r>
        <w:rPr>
          <w:rFonts w:asciiTheme="majorBidi" w:hAnsiTheme="majorBidi" w:cstheme="majorBidi"/>
          <w:color w:val="000000" w:themeColor="text1"/>
          <w:sz w:val="28"/>
          <w:szCs w:val="28"/>
        </w:rPr>
        <w:t>Alluqmani</w:t>
      </w:r>
      <w:proofErr w:type="spell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AH, and </w:t>
      </w:r>
      <w:proofErr w:type="spellStart"/>
      <w:r>
        <w:rPr>
          <w:rFonts w:asciiTheme="majorBidi" w:hAnsiTheme="majorBidi" w:cstheme="majorBidi"/>
          <w:color w:val="000000" w:themeColor="text1"/>
          <w:sz w:val="28"/>
          <w:szCs w:val="28"/>
        </w:rPr>
        <w:t>Mosa</w:t>
      </w:r>
      <w:proofErr w:type="spell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</w:t>
      </w:r>
      <w:r w:rsidRPr="001A03C0">
        <w:rPr>
          <w:rFonts w:asciiTheme="majorBidi" w:hAnsiTheme="majorBidi" w:cstheme="majorBidi"/>
          <w:color w:val="000000" w:themeColor="text1"/>
          <w:sz w:val="28"/>
          <w:szCs w:val="28"/>
          <w:lang w:val="en-EG"/>
        </w:rPr>
        <w:t xml:space="preserve">. Surgical Outcomes in Children With Primary Congenital Glaucoma: An Eight-Year Experience. </w:t>
      </w:r>
      <w:r w:rsidR="0075008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2020 </w:t>
      </w:r>
      <w:r w:rsidRPr="001A03C0">
        <w:rPr>
          <w:rFonts w:asciiTheme="majorBidi" w:hAnsiTheme="majorBidi" w:cstheme="majorBidi"/>
          <w:color w:val="000000" w:themeColor="text1"/>
          <w:sz w:val="28"/>
          <w:szCs w:val="28"/>
          <w:lang w:val="en-EG"/>
        </w:rPr>
        <w:t>Cureus 12(8): e9602. doi:10.7759/cureus.9602</w:t>
      </w:r>
    </w:p>
    <w:p w14:paraId="534B9E12" w14:textId="77777777" w:rsidR="00750081" w:rsidRPr="00750081" w:rsidRDefault="00750081" w:rsidP="00664D3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750081">
        <w:rPr>
          <w:rFonts w:asciiTheme="majorBidi" w:hAnsiTheme="majorBidi" w:cstheme="majorBidi"/>
          <w:color w:val="000000" w:themeColor="text1"/>
          <w:sz w:val="28"/>
          <w:szCs w:val="28"/>
          <w:lang w:val="en-EG"/>
        </w:rPr>
        <w:t xml:space="preserve">Bettin P, Khaw PT (eds): Glaucoma Surgery. 2nd, revised and extended edition. Dev Ophthalmol. Basel, Karger, 2017, vol 59, pp 165-178. doi: 10.1159/000458495 </w:t>
      </w:r>
    </w:p>
    <w:p w14:paraId="6BD962FD" w14:textId="65A0BECB" w:rsidR="00750081" w:rsidRPr="00750081" w:rsidRDefault="00750081" w:rsidP="00750081">
      <w:pPr>
        <w:pStyle w:val="NormalWeb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en-EG"/>
        </w:rPr>
      </w:pPr>
      <w:r w:rsidRPr="0075008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Linden, C., </w:t>
      </w:r>
      <w:proofErr w:type="spellStart"/>
      <w:r w:rsidRPr="00750081">
        <w:rPr>
          <w:rFonts w:asciiTheme="majorBidi" w:hAnsiTheme="majorBidi" w:cstheme="majorBidi"/>
          <w:color w:val="000000" w:themeColor="text1"/>
          <w:sz w:val="28"/>
          <w:szCs w:val="28"/>
        </w:rPr>
        <w:t>Heijl</w:t>
      </w:r>
      <w:proofErr w:type="spellEnd"/>
      <w:r w:rsidRPr="0075008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A., </w:t>
      </w:r>
      <w:proofErr w:type="spellStart"/>
      <w:r w:rsidRPr="00750081">
        <w:rPr>
          <w:rFonts w:asciiTheme="majorBidi" w:hAnsiTheme="majorBidi" w:cstheme="majorBidi"/>
          <w:color w:val="000000" w:themeColor="text1"/>
          <w:sz w:val="28"/>
          <w:szCs w:val="28"/>
        </w:rPr>
        <w:t>Jóhannesson</w:t>
      </w:r>
      <w:proofErr w:type="spellEnd"/>
      <w:r w:rsidRPr="0075008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G., </w:t>
      </w:r>
      <w:proofErr w:type="spellStart"/>
      <w:r w:rsidRPr="00750081">
        <w:rPr>
          <w:rFonts w:asciiTheme="majorBidi" w:hAnsiTheme="majorBidi" w:cstheme="majorBidi"/>
          <w:color w:val="000000" w:themeColor="text1"/>
          <w:sz w:val="28"/>
          <w:szCs w:val="28"/>
        </w:rPr>
        <w:t>Aspberg</w:t>
      </w:r>
      <w:proofErr w:type="spellEnd"/>
      <w:r w:rsidRPr="0075008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J., Andersson </w:t>
      </w:r>
      <w:proofErr w:type="spellStart"/>
      <w:r w:rsidRPr="00750081">
        <w:rPr>
          <w:rFonts w:asciiTheme="majorBidi" w:hAnsiTheme="majorBidi" w:cstheme="majorBidi"/>
          <w:color w:val="000000" w:themeColor="text1"/>
          <w:sz w:val="28"/>
          <w:szCs w:val="28"/>
        </w:rPr>
        <w:t>Geimer</w:t>
      </w:r>
      <w:proofErr w:type="spellEnd"/>
      <w:r w:rsidRPr="00750081">
        <w:rPr>
          <w:rFonts w:asciiTheme="majorBidi" w:hAnsiTheme="majorBidi" w:cstheme="majorBidi"/>
          <w:color w:val="000000" w:themeColor="text1"/>
          <w:sz w:val="28"/>
          <w:szCs w:val="28"/>
        </w:rPr>
        <w:t>, S.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and </w:t>
      </w:r>
      <w:r w:rsidRPr="00750081">
        <w:rPr>
          <w:rFonts w:asciiTheme="majorBidi" w:hAnsiTheme="majorBidi" w:cstheme="majorBidi"/>
          <w:color w:val="000000" w:themeColor="text1"/>
          <w:sz w:val="28"/>
          <w:szCs w:val="28"/>
          <w:lang w:val="en-EG"/>
        </w:rPr>
        <w:t>Bengtsson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5008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B. Initial intraocular pressure reduction by mono- versus multi-therapy in patients with open-angle glaucoma: results from the Glaucoma Intensive Treatment Study Acta </w:t>
      </w:r>
      <w:proofErr w:type="spellStart"/>
      <w:r w:rsidRPr="00750081">
        <w:rPr>
          <w:rFonts w:asciiTheme="majorBidi" w:hAnsiTheme="majorBidi" w:cstheme="majorBidi"/>
          <w:color w:val="000000" w:themeColor="text1"/>
          <w:sz w:val="28"/>
          <w:szCs w:val="28"/>
        </w:rPr>
        <w:t>Ophthalmologica</w:t>
      </w:r>
      <w:proofErr w:type="spellEnd"/>
      <w:r w:rsidRPr="0075008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2018 96(6): 567-572 </w:t>
      </w:r>
      <w:hyperlink r:id="rId6" w:history="1">
        <w:r w:rsidRPr="00750081">
          <w:rPr>
            <w:rStyle w:val="Hyperlink"/>
            <w:rFonts w:asciiTheme="majorBidi" w:hAnsiTheme="majorBidi" w:cstheme="majorBidi"/>
            <w:sz w:val="28"/>
            <w:szCs w:val="28"/>
          </w:rPr>
          <w:t>https://doi.org/10.1111/aos.13790</w:t>
        </w:r>
      </w:hyperlink>
      <w:r w:rsidRPr="0075008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14:paraId="357884BC" w14:textId="18A185C0" w:rsidR="00CE48B8" w:rsidRPr="00CE48B8" w:rsidRDefault="00CE48B8" w:rsidP="00CE48B8">
      <w:pPr>
        <w:pStyle w:val="NormalWeb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en-EG"/>
        </w:rPr>
      </w:pPr>
      <w:r w:rsidRPr="00CE48B8">
        <w:rPr>
          <w:rFonts w:asciiTheme="majorBidi" w:hAnsiTheme="majorBidi" w:cstheme="majorBidi"/>
          <w:color w:val="000000" w:themeColor="text1"/>
          <w:sz w:val="28"/>
          <w:szCs w:val="28"/>
          <w:lang w:val="en-EG"/>
        </w:rPr>
        <w:t>Al Habash A, Nagshbandi AA. Quality of Life After Combined Cataract and Minimally Invasive Glaucoma Surgery in Glaucoma Patients. </w:t>
      </w:r>
      <w:r w:rsidRPr="00CE48B8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EG"/>
        </w:rPr>
        <w:t>Clin Ophthalmol</w:t>
      </w:r>
      <w:r w:rsidRPr="00CE48B8">
        <w:rPr>
          <w:rFonts w:asciiTheme="majorBidi" w:hAnsiTheme="majorBidi" w:cstheme="majorBidi"/>
          <w:color w:val="000000" w:themeColor="text1"/>
          <w:sz w:val="28"/>
          <w:szCs w:val="28"/>
          <w:lang w:val="en-EG"/>
        </w:rPr>
        <w:t>. 2020;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CE48B8">
        <w:rPr>
          <w:rFonts w:asciiTheme="majorBidi" w:hAnsiTheme="majorBidi" w:cstheme="majorBidi"/>
          <w:color w:val="000000" w:themeColor="text1"/>
          <w:sz w:val="28"/>
          <w:szCs w:val="28"/>
          <w:lang w:val="en-EG"/>
        </w:rPr>
        <w:t>14:3049-3056https://doi.org/10.2147/OPTH.S276124</w:t>
      </w:r>
    </w:p>
    <w:p w14:paraId="36C0A35A" w14:textId="77777777" w:rsidR="00CE48B8" w:rsidRDefault="00CE48B8" w:rsidP="00CA4761">
      <w:pPr>
        <w:pStyle w:val="NormalWeb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 w:rsidRPr="00CE48B8">
        <w:rPr>
          <w:rFonts w:asciiTheme="majorBidi" w:hAnsiTheme="majorBidi" w:cstheme="majorBidi"/>
          <w:color w:val="000000" w:themeColor="text1"/>
          <w:sz w:val="28"/>
          <w:szCs w:val="28"/>
        </w:rPr>
        <w:t>Belda</w:t>
      </w:r>
      <w:proofErr w:type="spellEnd"/>
      <w:r w:rsidRPr="00CE48B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José &amp; Patel, </w:t>
      </w:r>
      <w:proofErr w:type="spellStart"/>
      <w:r w:rsidRPr="00CE48B8">
        <w:rPr>
          <w:rFonts w:asciiTheme="majorBidi" w:hAnsiTheme="majorBidi" w:cstheme="majorBidi"/>
          <w:color w:val="000000" w:themeColor="text1"/>
          <w:sz w:val="28"/>
          <w:szCs w:val="28"/>
        </w:rPr>
        <w:t>Vedprakash</w:t>
      </w:r>
      <w:proofErr w:type="spellEnd"/>
      <w:r w:rsidRPr="00CE48B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&amp; </w:t>
      </w:r>
      <w:proofErr w:type="spellStart"/>
      <w:r w:rsidRPr="00CE48B8">
        <w:rPr>
          <w:rFonts w:asciiTheme="majorBidi" w:hAnsiTheme="majorBidi" w:cstheme="majorBidi"/>
          <w:color w:val="000000" w:themeColor="text1"/>
          <w:sz w:val="28"/>
          <w:szCs w:val="28"/>
        </w:rPr>
        <w:t>Aceituno</w:t>
      </w:r>
      <w:proofErr w:type="spellEnd"/>
      <w:r w:rsidRPr="00CE48B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-Mata, Susana &amp; Cantu, </w:t>
      </w:r>
      <w:proofErr w:type="spellStart"/>
      <w:r w:rsidRPr="00CE48B8">
        <w:rPr>
          <w:rFonts w:asciiTheme="majorBidi" w:hAnsiTheme="majorBidi" w:cstheme="majorBidi"/>
          <w:color w:val="000000" w:themeColor="text1"/>
          <w:sz w:val="28"/>
          <w:szCs w:val="28"/>
        </w:rPr>
        <w:t>Mairany</w:t>
      </w:r>
      <w:proofErr w:type="spellEnd"/>
      <w:r w:rsidRPr="00CE48B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&amp; </w:t>
      </w:r>
      <w:proofErr w:type="spellStart"/>
      <w:r w:rsidRPr="00CE48B8">
        <w:rPr>
          <w:rFonts w:asciiTheme="majorBidi" w:hAnsiTheme="majorBidi" w:cstheme="majorBidi"/>
          <w:color w:val="000000" w:themeColor="text1"/>
          <w:sz w:val="28"/>
          <w:szCs w:val="28"/>
        </w:rPr>
        <w:t>Gicquel</w:t>
      </w:r>
      <w:proofErr w:type="spellEnd"/>
      <w:r w:rsidRPr="00CE48B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G &amp; </w:t>
      </w:r>
      <w:proofErr w:type="spellStart"/>
      <w:r w:rsidRPr="00CE48B8">
        <w:rPr>
          <w:rFonts w:asciiTheme="majorBidi" w:hAnsiTheme="majorBidi" w:cstheme="majorBidi"/>
          <w:color w:val="000000" w:themeColor="text1"/>
          <w:sz w:val="28"/>
          <w:szCs w:val="28"/>
        </w:rPr>
        <w:t>Botteman</w:t>
      </w:r>
      <w:proofErr w:type="spellEnd"/>
      <w:r w:rsidRPr="00CE48B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Marc &amp; Falvey, H. (2017). Clinical And Economic Outcomes </w:t>
      </w:r>
      <w:proofErr w:type="gramStart"/>
      <w:r w:rsidRPr="00CE48B8">
        <w:rPr>
          <w:rFonts w:asciiTheme="majorBidi" w:hAnsiTheme="majorBidi" w:cstheme="majorBidi"/>
          <w:color w:val="000000" w:themeColor="text1"/>
          <w:sz w:val="28"/>
          <w:szCs w:val="28"/>
        </w:rPr>
        <w:t>Of</w:t>
      </w:r>
      <w:proofErr w:type="gramEnd"/>
      <w:r w:rsidRPr="00CE48B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Microinvasive Glaucoma Surgery (MIGS) With Stents In Patients With Mild-To-Moderate Or Refractory Glaucoma In Spain. Value in Health. 20. A580. 10.1016/j.jval.2017.08.1031. </w:t>
      </w:r>
    </w:p>
    <w:p w14:paraId="5F82E0DB" w14:textId="5E3F2022" w:rsidR="00664D3C" w:rsidRPr="00C03B7C" w:rsidRDefault="00664D3C" w:rsidP="00CA4761">
      <w:pPr>
        <w:pStyle w:val="NormalWeb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03B7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Kim, W-J, Kim, J-M, Lee, W-H, Kim, KN, Kim, C. Effect of combined goniotomy and phacoemulsification on intraocular pressure in open-angle </w:t>
      </w:r>
      <w:r w:rsidRPr="00C03B7C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>glaucoma patients.</w:t>
      </w:r>
      <w:r w:rsidR="00D16E70" w:rsidRPr="00C03B7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C03B7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Clin Experiment </w:t>
      </w:r>
      <w:proofErr w:type="spellStart"/>
      <w:r w:rsidRPr="00C03B7C">
        <w:rPr>
          <w:rFonts w:asciiTheme="majorBidi" w:hAnsiTheme="majorBidi" w:cstheme="majorBidi"/>
          <w:color w:val="000000" w:themeColor="text1"/>
          <w:sz w:val="28"/>
          <w:szCs w:val="28"/>
        </w:rPr>
        <w:t>Ophthalmol</w:t>
      </w:r>
      <w:proofErr w:type="spellEnd"/>
      <w:r w:rsidRPr="00C03B7C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="00D16E70" w:rsidRPr="00C03B7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C03B7C">
        <w:rPr>
          <w:rFonts w:asciiTheme="majorBidi" w:hAnsiTheme="majorBidi" w:cstheme="majorBidi"/>
          <w:color w:val="000000" w:themeColor="text1"/>
          <w:sz w:val="28"/>
          <w:szCs w:val="28"/>
        </w:rPr>
        <w:t>2019; 47: 757– 765.</w:t>
      </w:r>
      <w:r w:rsidR="00D16E70" w:rsidRPr="00C03B7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C03B7C">
        <w:rPr>
          <w:rFonts w:asciiTheme="majorBidi" w:hAnsiTheme="majorBidi" w:cstheme="majorBidi"/>
          <w:color w:val="000000" w:themeColor="text1"/>
          <w:sz w:val="28"/>
          <w:szCs w:val="28"/>
        </w:rPr>
        <w:t>https://doi.org/10.1111/ceo.13506</w:t>
      </w:r>
    </w:p>
    <w:p w14:paraId="3AF92CAB" w14:textId="46EDAF9A" w:rsidR="00664D3C" w:rsidRDefault="00664D3C" w:rsidP="00664D3C">
      <w:pPr>
        <w:pStyle w:val="NormalWeb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1755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Laroche D, Nkrumah G, </w:t>
      </w:r>
      <w:proofErr w:type="spellStart"/>
      <w:r w:rsidRPr="00817558">
        <w:rPr>
          <w:rFonts w:asciiTheme="majorBidi" w:hAnsiTheme="majorBidi" w:cstheme="majorBidi"/>
          <w:color w:val="000000" w:themeColor="text1"/>
          <w:sz w:val="28"/>
          <w:szCs w:val="28"/>
        </w:rPr>
        <w:t>Ugoh</w:t>
      </w:r>
      <w:proofErr w:type="spellEnd"/>
      <w:r w:rsidRPr="0081755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P, Ng C.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Real-World</w:t>
      </w:r>
      <w:r w:rsidRPr="0081755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Outcomes of </w:t>
      </w:r>
      <w:proofErr w:type="spellStart"/>
      <w:r w:rsidRPr="00817558">
        <w:rPr>
          <w:rFonts w:asciiTheme="majorBidi" w:hAnsiTheme="majorBidi" w:cstheme="majorBidi"/>
          <w:color w:val="000000" w:themeColor="text1"/>
          <w:sz w:val="28"/>
          <w:szCs w:val="28"/>
        </w:rPr>
        <w:t>Kahook</w:t>
      </w:r>
      <w:proofErr w:type="spellEnd"/>
      <w:r w:rsidRPr="0081755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Dual Blade Goniotomy in Black and Afro-Latinx Adult Patients with Glaucoma: A 6-Month Retrospective Study.</w:t>
      </w:r>
      <w:r w:rsidR="00D16E7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817558">
        <w:rPr>
          <w:rFonts w:asciiTheme="majorBidi" w:hAnsiTheme="majorBidi" w:cstheme="majorBidi"/>
          <w:color w:val="000000" w:themeColor="text1"/>
          <w:sz w:val="28"/>
          <w:szCs w:val="28"/>
        </w:rPr>
        <w:t>J Natl Med Assoc. 2021 Apr;113(2):230-236.</w:t>
      </w:r>
      <w:r w:rsidR="00D16E7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817558">
        <w:rPr>
          <w:rFonts w:asciiTheme="majorBidi" w:hAnsiTheme="majorBidi" w:cstheme="majorBidi"/>
          <w:color w:val="000000" w:themeColor="text1"/>
          <w:sz w:val="28"/>
          <w:szCs w:val="28"/>
        </w:rPr>
        <w:t>doi</w:t>
      </w:r>
      <w:proofErr w:type="spellEnd"/>
      <w:r w:rsidRPr="0081755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: 10.1016/j.jnma.2020.09.147. </w:t>
      </w:r>
      <w:proofErr w:type="spellStart"/>
      <w:r w:rsidRPr="00817558">
        <w:rPr>
          <w:rFonts w:asciiTheme="majorBidi" w:hAnsiTheme="majorBidi" w:cstheme="majorBidi"/>
          <w:color w:val="000000" w:themeColor="text1"/>
          <w:sz w:val="28"/>
          <w:szCs w:val="28"/>
        </w:rPr>
        <w:t>Epub</w:t>
      </w:r>
      <w:proofErr w:type="spellEnd"/>
      <w:r w:rsidRPr="0081755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2020 Nov 4.</w:t>
      </w:r>
      <w:r w:rsidR="00D16E7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817558">
        <w:rPr>
          <w:rFonts w:asciiTheme="majorBidi" w:hAnsiTheme="majorBidi" w:cstheme="majorBidi"/>
          <w:color w:val="000000" w:themeColor="text1"/>
          <w:sz w:val="28"/>
          <w:szCs w:val="28"/>
        </w:rPr>
        <w:t>PMID: 33158570.</w:t>
      </w:r>
    </w:p>
    <w:p w14:paraId="0433604F" w14:textId="0F83712B" w:rsidR="00664D3C" w:rsidRDefault="00664D3C" w:rsidP="00664D3C">
      <w:pPr>
        <w:pStyle w:val="NormalWeb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3592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Greenwood MD, Seibold LK, Radcliffe NM, </w:t>
      </w:r>
      <w:proofErr w:type="spellStart"/>
      <w:r w:rsidRPr="0043592F">
        <w:rPr>
          <w:rFonts w:asciiTheme="majorBidi" w:hAnsiTheme="majorBidi" w:cstheme="majorBidi"/>
          <w:color w:val="000000" w:themeColor="text1"/>
          <w:sz w:val="28"/>
          <w:szCs w:val="28"/>
        </w:rPr>
        <w:t>Dorairaj</w:t>
      </w:r>
      <w:proofErr w:type="spellEnd"/>
      <w:r w:rsidRPr="0043592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SK, </w:t>
      </w:r>
      <w:proofErr w:type="spellStart"/>
      <w:r w:rsidRPr="0043592F">
        <w:rPr>
          <w:rFonts w:asciiTheme="majorBidi" w:hAnsiTheme="majorBidi" w:cstheme="majorBidi"/>
          <w:color w:val="000000" w:themeColor="text1"/>
          <w:sz w:val="28"/>
          <w:szCs w:val="28"/>
        </w:rPr>
        <w:t>Aref</w:t>
      </w:r>
      <w:proofErr w:type="spellEnd"/>
      <w:r w:rsidRPr="0043592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AA, Román JJ, </w:t>
      </w:r>
      <w:proofErr w:type="spellStart"/>
      <w:r w:rsidRPr="0043592F">
        <w:rPr>
          <w:rFonts w:asciiTheme="majorBidi" w:hAnsiTheme="majorBidi" w:cstheme="majorBidi"/>
          <w:color w:val="000000" w:themeColor="text1"/>
          <w:sz w:val="28"/>
          <w:szCs w:val="28"/>
        </w:rPr>
        <w:t>Lazcano</w:t>
      </w:r>
      <w:proofErr w:type="spellEnd"/>
      <w:r w:rsidRPr="0043592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-Gomez GS, Darlington JK, Abdullah S, </w:t>
      </w:r>
      <w:proofErr w:type="spellStart"/>
      <w:r w:rsidRPr="0043592F">
        <w:rPr>
          <w:rFonts w:asciiTheme="majorBidi" w:hAnsiTheme="majorBidi" w:cstheme="majorBidi"/>
          <w:color w:val="000000" w:themeColor="text1"/>
          <w:sz w:val="28"/>
          <w:szCs w:val="28"/>
        </w:rPr>
        <w:t>Jasek</w:t>
      </w:r>
      <w:proofErr w:type="spellEnd"/>
      <w:r w:rsidRPr="0043592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MC, </w:t>
      </w:r>
      <w:proofErr w:type="spellStart"/>
      <w:r w:rsidRPr="0043592F">
        <w:rPr>
          <w:rFonts w:asciiTheme="majorBidi" w:hAnsiTheme="majorBidi" w:cstheme="majorBidi"/>
          <w:color w:val="000000" w:themeColor="text1"/>
          <w:sz w:val="28"/>
          <w:szCs w:val="28"/>
        </w:rPr>
        <w:t>Bahjri</w:t>
      </w:r>
      <w:proofErr w:type="spellEnd"/>
      <w:r w:rsidRPr="0043592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KA, </w:t>
      </w:r>
      <w:proofErr w:type="spellStart"/>
      <w:r w:rsidRPr="0043592F">
        <w:rPr>
          <w:rFonts w:asciiTheme="majorBidi" w:hAnsiTheme="majorBidi" w:cstheme="majorBidi"/>
          <w:color w:val="000000" w:themeColor="text1"/>
          <w:sz w:val="28"/>
          <w:szCs w:val="28"/>
        </w:rPr>
        <w:t>Berdahl</w:t>
      </w:r>
      <w:proofErr w:type="spellEnd"/>
      <w:r w:rsidRPr="0043592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JP.</w:t>
      </w:r>
      <w:r w:rsidR="00D16E7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43592F">
        <w:rPr>
          <w:rFonts w:asciiTheme="majorBidi" w:hAnsiTheme="majorBidi" w:cstheme="majorBidi"/>
          <w:color w:val="000000" w:themeColor="text1"/>
          <w:sz w:val="28"/>
          <w:szCs w:val="28"/>
        </w:rPr>
        <w:t>Goniotomy with a single-use dual blade: Short-term results.</w:t>
      </w:r>
      <w:r w:rsidR="00D16E7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43592F">
        <w:rPr>
          <w:rFonts w:asciiTheme="majorBidi" w:hAnsiTheme="majorBidi" w:cstheme="majorBidi"/>
          <w:color w:val="000000" w:themeColor="text1"/>
          <w:sz w:val="28"/>
          <w:szCs w:val="28"/>
        </w:rPr>
        <w:t>J Cataract Refract Surg. 2017 Sep;43(9):1197-1201.</w:t>
      </w:r>
      <w:r w:rsidR="00D16E7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43592F">
        <w:rPr>
          <w:rFonts w:asciiTheme="majorBidi" w:hAnsiTheme="majorBidi" w:cstheme="majorBidi"/>
          <w:color w:val="000000" w:themeColor="text1"/>
          <w:sz w:val="28"/>
          <w:szCs w:val="28"/>
        </w:rPr>
        <w:t>doi</w:t>
      </w:r>
      <w:proofErr w:type="spellEnd"/>
      <w:r w:rsidRPr="0043592F">
        <w:rPr>
          <w:rFonts w:asciiTheme="majorBidi" w:hAnsiTheme="majorBidi" w:cstheme="majorBidi"/>
          <w:color w:val="000000" w:themeColor="text1"/>
          <w:sz w:val="28"/>
          <w:szCs w:val="28"/>
        </w:rPr>
        <w:t>: 10.1016/j.jcrs.2017.06.046. PMID: 28991617.</w:t>
      </w:r>
    </w:p>
    <w:p w14:paraId="4202756A" w14:textId="5B8DF7E7" w:rsidR="00664D3C" w:rsidRDefault="00664D3C" w:rsidP="00664D3C">
      <w:pPr>
        <w:pStyle w:val="NormalWeb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 w:rsidRPr="0043592F">
        <w:rPr>
          <w:rFonts w:asciiTheme="majorBidi" w:hAnsiTheme="majorBidi" w:cstheme="majorBidi"/>
          <w:color w:val="000000" w:themeColor="text1"/>
          <w:sz w:val="28"/>
          <w:szCs w:val="28"/>
        </w:rPr>
        <w:t>Hirabayashi</w:t>
      </w:r>
      <w:proofErr w:type="spellEnd"/>
      <w:r w:rsidRPr="0043592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MT, King JT, Lee D, An JA.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The outcome</w:t>
      </w:r>
      <w:r w:rsidRPr="0043592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of phacoemulsification combined with excisional goniotomy using the </w:t>
      </w:r>
      <w:proofErr w:type="spellStart"/>
      <w:r w:rsidRPr="0043592F">
        <w:rPr>
          <w:rFonts w:asciiTheme="majorBidi" w:hAnsiTheme="majorBidi" w:cstheme="majorBidi"/>
          <w:color w:val="000000" w:themeColor="text1"/>
          <w:sz w:val="28"/>
          <w:szCs w:val="28"/>
        </w:rPr>
        <w:t>Kahook</w:t>
      </w:r>
      <w:proofErr w:type="spellEnd"/>
      <w:r w:rsidRPr="0043592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Dual Blade in severe glaucoma patients at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six</w:t>
      </w:r>
      <w:r w:rsidRPr="0043592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months.</w:t>
      </w:r>
      <w:r w:rsidR="00D16E7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43592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Clin </w:t>
      </w:r>
      <w:proofErr w:type="spellStart"/>
      <w:r w:rsidRPr="0043592F">
        <w:rPr>
          <w:rFonts w:asciiTheme="majorBidi" w:hAnsiTheme="majorBidi" w:cstheme="majorBidi"/>
          <w:color w:val="000000" w:themeColor="text1"/>
          <w:sz w:val="28"/>
          <w:szCs w:val="28"/>
        </w:rPr>
        <w:t>Ophthalmol</w:t>
      </w:r>
      <w:proofErr w:type="spellEnd"/>
      <w:r w:rsidRPr="0043592F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="00D16E7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43592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2019 Apr </w:t>
      </w:r>
      <w:proofErr w:type="gramStart"/>
      <w:r w:rsidRPr="0043592F">
        <w:rPr>
          <w:rFonts w:asciiTheme="majorBidi" w:hAnsiTheme="majorBidi" w:cstheme="majorBidi"/>
          <w:color w:val="000000" w:themeColor="text1"/>
          <w:sz w:val="28"/>
          <w:szCs w:val="28"/>
        </w:rPr>
        <w:t>24;13:715</w:t>
      </w:r>
      <w:proofErr w:type="gramEnd"/>
      <w:r w:rsidRPr="0043592F">
        <w:rPr>
          <w:rFonts w:asciiTheme="majorBidi" w:hAnsiTheme="majorBidi" w:cstheme="majorBidi"/>
          <w:color w:val="000000" w:themeColor="text1"/>
          <w:sz w:val="28"/>
          <w:szCs w:val="28"/>
        </w:rPr>
        <w:t>-721.</w:t>
      </w:r>
      <w:r w:rsidR="00D16E7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43592F">
        <w:rPr>
          <w:rFonts w:asciiTheme="majorBidi" w:hAnsiTheme="majorBidi" w:cstheme="majorBidi"/>
          <w:color w:val="000000" w:themeColor="text1"/>
          <w:sz w:val="28"/>
          <w:szCs w:val="28"/>
        </w:rPr>
        <w:t>doi</w:t>
      </w:r>
      <w:proofErr w:type="spellEnd"/>
      <w:r w:rsidRPr="0043592F">
        <w:rPr>
          <w:rFonts w:asciiTheme="majorBidi" w:hAnsiTheme="majorBidi" w:cstheme="majorBidi"/>
          <w:color w:val="000000" w:themeColor="text1"/>
          <w:sz w:val="28"/>
          <w:szCs w:val="28"/>
        </w:rPr>
        <w:t>: 10.2147/OPTH.S196105. PMID: 31114149; PMCID: PMC6488161.</w:t>
      </w:r>
    </w:p>
    <w:p w14:paraId="735F3E9E" w14:textId="469F2553" w:rsidR="00664D3C" w:rsidRPr="00E75CFB" w:rsidRDefault="00664D3C" w:rsidP="00664D3C">
      <w:pPr>
        <w:pStyle w:val="NormalWeb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B2B8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Salinas L, Chaudhary A, </w:t>
      </w:r>
      <w:proofErr w:type="spellStart"/>
      <w:r w:rsidRPr="000B2B81">
        <w:rPr>
          <w:rFonts w:asciiTheme="majorBidi" w:hAnsiTheme="majorBidi" w:cstheme="majorBidi"/>
          <w:color w:val="000000" w:themeColor="text1"/>
          <w:sz w:val="28"/>
          <w:szCs w:val="28"/>
        </w:rPr>
        <w:t>Berdahl</w:t>
      </w:r>
      <w:proofErr w:type="spellEnd"/>
      <w:r w:rsidRPr="000B2B8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JP, </w:t>
      </w:r>
      <w:proofErr w:type="spellStart"/>
      <w:r w:rsidRPr="000B2B81">
        <w:rPr>
          <w:rFonts w:asciiTheme="majorBidi" w:hAnsiTheme="majorBidi" w:cstheme="majorBidi"/>
          <w:color w:val="000000" w:themeColor="text1"/>
          <w:sz w:val="28"/>
          <w:szCs w:val="28"/>
        </w:rPr>
        <w:t>Lazcano</w:t>
      </w:r>
      <w:proofErr w:type="spellEnd"/>
      <w:r w:rsidRPr="000B2B8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-Gomez GS, Williamson BK, </w:t>
      </w:r>
      <w:proofErr w:type="spellStart"/>
      <w:r w:rsidRPr="000B2B81">
        <w:rPr>
          <w:rFonts w:asciiTheme="majorBidi" w:hAnsiTheme="majorBidi" w:cstheme="majorBidi"/>
          <w:color w:val="000000" w:themeColor="text1"/>
          <w:sz w:val="28"/>
          <w:szCs w:val="28"/>
        </w:rPr>
        <w:t>Dorairaj</w:t>
      </w:r>
      <w:proofErr w:type="spellEnd"/>
      <w:r w:rsidRPr="000B2B8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SK, Seibold LK, Smith S, </w:t>
      </w:r>
      <w:proofErr w:type="spellStart"/>
      <w:r w:rsidRPr="000B2B81">
        <w:rPr>
          <w:rFonts w:asciiTheme="majorBidi" w:hAnsiTheme="majorBidi" w:cstheme="majorBidi"/>
          <w:color w:val="000000" w:themeColor="text1"/>
          <w:sz w:val="28"/>
          <w:szCs w:val="28"/>
        </w:rPr>
        <w:t>Aref</w:t>
      </w:r>
      <w:proofErr w:type="spellEnd"/>
      <w:r w:rsidRPr="000B2B8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AA, Darlington JK, Jimenez-Roman J, </w:t>
      </w:r>
      <w:proofErr w:type="spellStart"/>
      <w:r w:rsidRPr="000B2B81">
        <w:rPr>
          <w:rFonts w:asciiTheme="majorBidi" w:hAnsiTheme="majorBidi" w:cstheme="majorBidi"/>
          <w:color w:val="000000" w:themeColor="text1"/>
          <w:sz w:val="28"/>
          <w:szCs w:val="28"/>
        </w:rPr>
        <w:t>Mahootchi</w:t>
      </w:r>
      <w:proofErr w:type="spellEnd"/>
      <w:r w:rsidRPr="000B2B8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A, </w:t>
      </w:r>
      <w:proofErr w:type="spellStart"/>
      <w:r w:rsidRPr="000B2B81">
        <w:rPr>
          <w:rFonts w:asciiTheme="majorBidi" w:hAnsiTheme="majorBidi" w:cstheme="majorBidi"/>
          <w:color w:val="000000" w:themeColor="text1"/>
          <w:sz w:val="28"/>
          <w:szCs w:val="28"/>
        </w:rPr>
        <w:t>Boucekine</w:t>
      </w:r>
      <w:proofErr w:type="spellEnd"/>
      <w:r w:rsidRPr="000B2B8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M, Mansouri K. Goniotomy Using the </w:t>
      </w:r>
      <w:proofErr w:type="spellStart"/>
      <w:r w:rsidRPr="000B2B81">
        <w:rPr>
          <w:rFonts w:asciiTheme="majorBidi" w:hAnsiTheme="majorBidi" w:cstheme="majorBidi"/>
          <w:color w:val="000000" w:themeColor="text1"/>
          <w:sz w:val="28"/>
          <w:szCs w:val="28"/>
        </w:rPr>
        <w:t>Kahook</w:t>
      </w:r>
      <w:proofErr w:type="spellEnd"/>
      <w:r w:rsidRPr="000B2B8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Dual Blade in Severe and Refractory Glaucoma: 6-Month </w:t>
      </w:r>
      <w:r w:rsidRPr="000B2B81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>Outcomes.</w:t>
      </w:r>
      <w:r w:rsidR="00D16E7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0B2B81">
        <w:rPr>
          <w:rFonts w:asciiTheme="majorBidi" w:hAnsiTheme="majorBidi" w:cstheme="majorBidi"/>
          <w:color w:val="000000" w:themeColor="text1"/>
          <w:sz w:val="28"/>
          <w:szCs w:val="28"/>
        </w:rPr>
        <w:t>J Glaucoma.</w:t>
      </w:r>
      <w:r w:rsidR="00D16E7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0B2B81">
        <w:rPr>
          <w:rFonts w:asciiTheme="majorBidi" w:hAnsiTheme="majorBidi" w:cstheme="majorBidi"/>
          <w:color w:val="000000" w:themeColor="text1"/>
          <w:sz w:val="28"/>
          <w:szCs w:val="28"/>
        </w:rPr>
        <w:t>2018 Oct;27(10):849-855.</w:t>
      </w:r>
      <w:r w:rsidR="00D16E7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0B2B81">
        <w:rPr>
          <w:rFonts w:asciiTheme="majorBidi" w:hAnsiTheme="majorBidi" w:cstheme="majorBidi"/>
          <w:color w:val="000000" w:themeColor="text1"/>
          <w:sz w:val="28"/>
          <w:szCs w:val="28"/>
        </w:rPr>
        <w:t>doi</w:t>
      </w:r>
      <w:proofErr w:type="spellEnd"/>
      <w:r w:rsidRPr="000B2B81">
        <w:rPr>
          <w:rFonts w:asciiTheme="majorBidi" w:hAnsiTheme="majorBidi" w:cstheme="majorBidi"/>
          <w:color w:val="000000" w:themeColor="text1"/>
          <w:sz w:val="28"/>
          <w:szCs w:val="28"/>
        </w:rPr>
        <w:t>: 10.1097/IJG.0000000000001019.</w:t>
      </w:r>
      <w:r w:rsidR="00D16E7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0B2B81">
        <w:rPr>
          <w:rFonts w:asciiTheme="majorBidi" w:hAnsiTheme="majorBidi" w:cstheme="majorBidi"/>
          <w:color w:val="000000" w:themeColor="text1"/>
          <w:sz w:val="28"/>
          <w:szCs w:val="28"/>
        </w:rPr>
        <w:t>PMID: 29979337.</w:t>
      </w:r>
    </w:p>
    <w:p w14:paraId="7ED2FF60" w14:textId="77777777" w:rsidR="00CE48B8" w:rsidRDefault="00CE48B8" w:rsidP="00CE48B8">
      <w:pPr>
        <w:pStyle w:val="NormalWeb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en-EG"/>
        </w:rPr>
      </w:pPr>
      <w:r w:rsidRPr="00CE48B8">
        <w:rPr>
          <w:rFonts w:asciiTheme="majorBidi" w:hAnsiTheme="majorBidi" w:cstheme="majorBidi"/>
          <w:color w:val="000000" w:themeColor="text1"/>
          <w:sz w:val="28"/>
          <w:szCs w:val="28"/>
          <w:lang w:val="en-EG"/>
        </w:rPr>
        <w:t>Tang, L. , Tang, C. , Wang, Y. , Shi, X. . The Molecular Mechanisms of Trabecular Meshwork Damage in POAG and Treatment Advances. In: Davey, P. G. G. , editor. Glaucoma - Recent Advances and New Perspectives [Working Title] [Internet]. London: IntechOpen; 2022 doi: 10.5772/intechopen.103849</w:t>
      </w:r>
    </w:p>
    <w:p w14:paraId="4AE1AC4E" w14:textId="3798DFEB" w:rsidR="00CE48B8" w:rsidRPr="00CE48B8" w:rsidRDefault="00CE48B8" w:rsidP="00CE48B8">
      <w:pPr>
        <w:pStyle w:val="NormalWeb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en-EG"/>
        </w:rPr>
      </w:pPr>
      <w:r w:rsidRPr="00CE48B8">
        <w:rPr>
          <w:rFonts w:asciiTheme="majorBidi" w:hAnsiTheme="majorBidi" w:cstheme="majorBidi"/>
          <w:color w:val="000000" w:themeColor="text1"/>
          <w:sz w:val="28"/>
          <w:szCs w:val="28"/>
          <w:lang w:val="en-EG"/>
        </w:rPr>
        <w:t>Zhang, Y., Yang, Q., Guo, F. </w:t>
      </w:r>
      <w:r w:rsidRPr="00CE48B8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EG"/>
        </w:rPr>
        <w:t>et al.</w:t>
      </w:r>
      <w:r w:rsidRPr="00CE48B8">
        <w:rPr>
          <w:rFonts w:asciiTheme="majorBidi" w:hAnsiTheme="majorBidi" w:cstheme="majorBidi"/>
          <w:color w:val="000000" w:themeColor="text1"/>
          <w:sz w:val="28"/>
          <w:szCs w:val="28"/>
          <w:lang w:val="en-EG"/>
        </w:rPr>
        <w:t> Link between neurodegeneration and trabecular meshwork injury in glaucomatous patients. </w:t>
      </w:r>
      <w:r w:rsidRPr="00CE48B8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EG"/>
        </w:rPr>
        <w:t>BMC Ophthalmol</w:t>
      </w:r>
      <w:r w:rsidRPr="00CE48B8">
        <w:rPr>
          <w:rFonts w:asciiTheme="majorBidi" w:hAnsiTheme="majorBidi" w:cstheme="majorBidi"/>
          <w:color w:val="000000" w:themeColor="text1"/>
          <w:sz w:val="28"/>
          <w:szCs w:val="28"/>
          <w:lang w:val="en-EG"/>
        </w:rPr>
        <w:t> </w:t>
      </w:r>
      <w:r w:rsidRPr="00CE48B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EG"/>
        </w:rPr>
        <w:t>17, </w:t>
      </w:r>
      <w:r w:rsidRPr="00CE48B8">
        <w:rPr>
          <w:rFonts w:asciiTheme="majorBidi" w:hAnsiTheme="majorBidi" w:cstheme="majorBidi"/>
          <w:color w:val="000000" w:themeColor="text1"/>
          <w:sz w:val="28"/>
          <w:szCs w:val="28"/>
          <w:lang w:val="en-EG"/>
        </w:rPr>
        <w:t>223 (2017). https://doi.org/10.1186/s12886-017-0623-z</w:t>
      </w:r>
    </w:p>
    <w:p w14:paraId="7C81AD87" w14:textId="77777777" w:rsidR="00664D3C" w:rsidRPr="00B57769" w:rsidRDefault="00664D3C" w:rsidP="00B57769">
      <w:pPr>
        <w:spacing w:line="480" w:lineRule="auto"/>
        <w:jc w:val="both"/>
      </w:pPr>
    </w:p>
    <w:sectPr w:rsidR="00664D3C" w:rsidRPr="00B57769" w:rsidSect="00E75938">
      <w:pgSz w:w="11900" w:h="16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2AB3"/>
    <w:multiLevelType w:val="multilevel"/>
    <w:tmpl w:val="6D14FCB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Theme="majorBidi" w:eastAsia="Times New Roman" w:hAnsiTheme="majorBidi" w:cstheme="majorBidi"/>
      </w:r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 w15:restartNumberingAfterBreak="0">
    <w:nsid w:val="38857924"/>
    <w:multiLevelType w:val="hybridMultilevel"/>
    <w:tmpl w:val="4FD89EA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7C13430D"/>
    <w:multiLevelType w:val="multilevel"/>
    <w:tmpl w:val="27100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7615804">
    <w:abstractNumId w:val="0"/>
  </w:num>
  <w:num w:numId="2" w16cid:durableId="1939369427">
    <w:abstractNumId w:val="1"/>
  </w:num>
  <w:num w:numId="3" w16cid:durableId="774062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1NDcxNzQxNTAztDBT0lEKTi0uzszPAykwqQUAhz515SwAAAA="/>
  </w:docVars>
  <w:rsids>
    <w:rsidRoot w:val="005362AE"/>
    <w:rsid w:val="00000970"/>
    <w:rsid w:val="000026D6"/>
    <w:rsid w:val="0000273D"/>
    <w:rsid w:val="00016967"/>
    <w:rsid w:val="000216A3"/>
    <w:rsid w:val="00022186"/>
    <w:rsid w:val="00025B4B"/>
    <w:rsid w:val="000271C4"/>
    <w:rsid w:val="0003130E"/>
    <w:rsid w:val="00037DEF"/>
    <w:rsid w:val="00040DF9"/>
    <w:rsid w:val="000439B1"/>
    <w:rsid w:val="00050CC7"/>
    <w:rsid w:val="00053BCF"/>
    <w:rsid w:val="00055AFE"/>
    <w:rsid w:val="00056F5F"/>
    <w:rsid w:val="000605EE"/>
    <w:rsid w:val="0006646B"/>
    <w:rsid w:val="000667C1"/>
    <w:rsid w:val="0006749D"/>
    <w:rsid w:val="0008129D"/>
    <w:rsid w:val="000827AE"/>
    <w:rsid w:val="000842E6"/>
    <w:rsid w:val="000870AD"/>
    <w:rsid w:val="00092AEC"/>
    <w:rsid w:val="000936FB"/>
    <w:rsid w:val="000A0606"/>
    <w:rsid w:val="000A4A34"/>
    <w:rsid w:val="000A5562"/>
    <w:rsid w:val="000B2B81"/>
    <w:rsid w:val="000B64BC"/>
    <w:rsid w:val="000E065C"/>
    <w:rsid w:val="000E3C24"/>
    <w:rsid w:val="000E761B"/>
    <w:rsid w:val="000F1B74"/>
    <w:rsid w:val="000F4C05"/>
    <w:rsid w:val="000F5ABC"/>
    <w:rsid w:val="001015A6"/>
    <w:rsid w:val="00104517"/>
    <w:rsid w:val="00104AED"/>
    <w:rsid w:val="00114BFB"/>
    <w:rsid w:val="001159E1"/>
    <w:rsid w:val="00116CBC"/>
    <w:rsid w:val="00122411"/>
    <w:rsid w:val="00123419"/>
    <w:rsid w:val="00123E11"/>
    <w:rsid w:val="0012711D"/>
    <w:rsid w:val="001278F3"/>
    <w:rsid w:val="001304C8"/>
    <w:rsid w:val="0013545F"/>
    <w:rsid w:val="00146CFC"/>
    <w:rsid w:val="00152213"/>
    <w:rsid w:val="001663B3"/>
    <w:rsid w:val="00170A27"/>
    <w:rsid w:val="001822D0"/>
    <w:rsid w:val="00187C5E"/>
    <w:rsid w:val="00194620"/>
    <w:rsid w:val="001A03C0"/>
    <w:rsid w:val="001A09CD"/>
    <w:rsid w:val="001B0181"/>
    <w:rsid w:val="001B7A42"/>
    <w:rsid w:val="001C0620"/>
    <w:rsid w:val="001C1D9B"/>
    <w:rsid w:val="001C46DB"/>
    <w:rsid w:val="001C708B"/>
    <w:rsid w:val="001C7DF7"/>
    <w:rsid w:val="001E07FB"/>
    <w:rsid w:val="001E40A6"/>
    <w:rsid w:val="001F2318"/>
    <w:rsid w:val="001F30E7"/>
    <w:rsid w:val="001F3266"/>
    <w:rsid w:val="001F4342"/>
    <w:rsid w:val="001F520A"/>
    <w:rsid w:val="001F716E"/>
    <w:rsid w:val="0020456A"/>
    <w:rsid w:val="00223C5E"/>
    <w:rsid w:val="00224EE6"/>
    <w:rsid w:val="00235F10"/>
    <w:rsid w:val="002360EA"/>
    <w:rsid w:val="0024056B"/>
    <w:rsid w:val="00243D8C"/>
    <w:rsid w:val="002518B7"/>
    <w:rsid w:val="00251BCF"/>
    <w:rsid w:val="002616B4"/>
    <w:rsid w:val="0026357D"/>
    <w:rsid w:val="00270F47"/>
    <w:rsid w:val="00283D1D"/>
    <w:rsid w:val="002A13F3"/>
    <w:rsid w:val="002A4B95"/>
    <w:rsid w:val="002A6284"/>
    <w:rsid w:val="002D796D"/>
    <w:rsid w:val="00301E35"/>
    <w:rsid w:val="003036F8"/>
    <w:rsid w:val="00305210"/>
    <w:rsid w:val="00311222"/>
    <w:rsid w:val="0031147A"/>
    <w:rsid w:val="00314E56"/>
    <w:rsid w:val="003278F8"/>
    <w:rsid w:val="0033400A"/>
    <w:rsid w:val="00337DA2"/>
    <w:rsid w:val="00345D01"/>
    <w:rsid w:val="003522FB"/>
    <w:rsid w:val="003538D3"/>
    <w:rsid w:val="003559D8"/>
    <w:rsid w:val="0035631E"/>
    <w:rsid w:val="00356576"/>
    <w:rsid w:val="00360130"/>
    <w:rsid w:val="00362610"/>
    <w:rsid w:val="00375418"/>
    <w:rsid w:val="003904E7"/>
    <w:rsid w:val="00392660"/>
    <w:rsid w:val="00394A03"/>
    <w:rsid w:val="00395E4A"/>
    <w:rsid w:val="003A201D"/>
    <w:rsid w:val="003A70EA"/>
    <w:rsid w:val="003B4014"/>
    <w:rsid w:val="003B46FB"/>
    <w:rsid w:val="003B7812"/>
    <w:rsid w:val="003B7DA5"/>
    <w:rsid w:val="003C1311"/>
    <w:rsid w:val="003C77D4"/>
    <w:rsid w:val="003C7BEC"/>
    <w:rsid w:val="003D4006"/>
    <w:rsid w:val="003E45B5"/>
    <w:rsid w:val="003E4CB8"/>
    <w:rsid w:val="003F1F2E"/>
    <w:rsid w:val="003F398B"/>
    <w:rsid w:val="003F3C25"/>
    <w:rsid w:val="004058D8"/>
    <w:rsid w:val="004209FB"/>
    <w:rsid w:val="00424734"/>
    <w:rsid w:val="0042497E"/>
    <w:rsid w:val="00426973"/>
    <w:rsid w:val="00426B02"/>
    <w:rsid w:val="004317E6"/>
    <w:rsid w:val="00434C0D"/>
    <w:rsid w:val="0043515D"/>
    <w:rsid w:val="0043592F"/>
    <w:rsid w:val="00435D3F"/>
    <w:rsid w:val="004404DB"/>
    <w:rsid w:val="00443F23"/>
    <w:rsid w:val="00445413"/>
    <w:rsid w:val="00452E25"/>
    <w:rsid w:val="00456B7C"/>
    <w:rsid w:val="0045737E"/>
    <w:rsid w:val="00472020"/>
    <w:rsid w:val="00476BAF"/>
    <w:rsid w:val="004802B2"/>
    <w:rsid w:val="00486040"/>
    <w:rsid w:val="00491BFD"/>
    <w:rsid w:val="00496403"/>
    <w:rsid w:val="004A0743"/>
    <w:rsid w:val="004A3141"/>
    <w:rsid w:val="004A52BC"/>
    <w:rsid w:val="004A53C7"/>
    <w:rsid w:val="004A6084"/>
    <w:rsid w:val="004B3F40"/>
    <w:rsid w:val="004B59F6"/>
    <w:rsid w:val="004C5673"/>
    <w:rsid w:val="004D4856"/>
    <w:rsid w:val="004E3476"/>
    <w:rsid w:val="00504562"/>
    <w:rsid w:val="005345C3"/>
    <w:rsid w:val="0053527D"/>
    <w:rsid w:val="005362AE"/>
    <w:rsid w:val="005363B8"/>
    <w:rsid w:val="00536C9D"/>
    <w:rsid w:val="005412D2"/>
    <w:rsid w:val="00541CD3"/>
    <w:rsid w:val="0054669B"/>
    <w:rsid w:val="005620DC"/>
    <w:rsid w:val="00562B3D"/>
    <w:rsid w:val="0056304E"/>
    <w:rsid w:val="00564015"/>
    <w:rsid w:val="00566907"/>
    <w:rsid w:val="00567666"/>
    <w:rsid w:val="00570B7E"/>
    <w:rsid w:val="00575249"/>
    <w:rsid w:val="00582FA8"/>
    <w:rsid w:val="00583747"/>
    <w:rsid w:val="00583D71"/>
    <w:rsid w:val="00583F4A"/>
    <w:rsid w:val="00594B01"/>
    <w:rsid w:val="00594C3D"/>
    <w:rsid w:val="005A3F49"/>
    <w:rsid w:val="005B2352"/>
    <w:rsid w:val="005B7C49"/>
    <w:rsid w:val="005C280C"/>
    <w:rsid w:val="005E05E2"/>
    <w:rsid w:val="005E5C01"/>
    <w:rsid w:val="005F534A"/>
    <w:rsid w:val="005F7A8F"/>
    <w:rsid w:val="00612434"/>
    <w:rsid w:val="00613C30"/>
    <w:rsid w:val="006243B0"/>
    <w:rsid w:val="00632BAB"/>
    <w:rsid w:val="00634E28"/>
    <w:rsid w:val="0065129D"/>
    <w:rsid w:val="0066288D"/>
    <w:rsid w:val="00664D3C"/>
    <w:rsid w:val="00667207"/>
    <w:rsid w:val="0068185E"/>
    <w:rsid w:val="00681D02"/>
    <w:rsid w:val="00685DDD"/>
    <w:rsid w:val="00696B53"/>
    <w:rsid w:val="006A3635"/>
    <w:rsid w:val="006A55EF"/>
    <w:rsid w:val="006A5CE2"/>
    <w:rsid w:val="006B4DB4"/>
    <w:rsid w:val="006B7988"/>
    <w:rsid w:val="006C04A5"/>
    <w:rsid w:val="006C1333"/>
    <w:rsid w:val="006C56C2"/>
    <w:rsid w:val="006D28B8"/>
    <w:rsid w:val="006D35FA"/>
    <w:rsid w:val="006E0144"/>
    <w:rsid w:val="006F7955"/>
    <w:rsid w:val="00702B45"/>
    <w:rsid w:val="00705936"/>
    <w:rsid w:val="00710A1F"/>
    <w:rsid w:val="00714B68"/>
    <w:rsid w:val="007212BE"/>
    <w:rsid w:val="0072265C"/>
    <w:rsid w:val="00730774"/>
    <w:rsid w:val="007315A6"/>
    <w:rsid w:val="007347C6"/>
    <w:rsid w:val="00742C03"/>
    <w:rsid w:val="007458E2"/>
    <w:rsid w:val="00750081"/>
    <w:rsid w:val="00751486"/>
    <w:rsid w:val="007517C6"/>
    <w:rsid w:val="00751A2C"/>
    <w:rsid w:val="00754FB2"/>
    <w:rsid w:val="00755440"/>
    <w:rsid w:val="00756446"/>
    <w:rsid w:val="007572BC"/>
    <w:rsid w:val="0075751C"/>
    <w:rsid w:val="00760175"/>
    <w:rsid w:val="00765F63"/>
    <w:rsid w:val="00766AE4"/>
    <w:rsid w:val="00774B63"/>
    <w:rsid w:val="00776ACF"/>
    <w:rsid w:val="00790BD4"/>
    <w:rsid w:val="00793203"/>
    <w:rsid w:val="007959D9"/>
    <w:rsid w:val="007A0C14"/>
    <w:rsid w:val="007A0F71"/>
    <w:rsid w:val="007A3286"/>
    <w:rsid w:val="007A3A56"/>
    <w:rsid w:val="007A4421"/>
    <w:rsid w:val="007B64C0"/>
    <w:rsid w:val="007C10DD"/>
    <w:rsid w:val="007D72C1"/>
    <w:rsid w:val="007E0535"/>
    <w:rsid w:val="007E1F49"/>
    <w:rsid w:val="007E53AB"/>
    <w:rsid w:val="00802263"/>
    <w:rsid w:val="00802374"/>
    <w:rsid w:val="0081052E"/>
    <w:rsid w:val="00817558"/>
    <w:rsid w:val="00821E91"/>
    <w:rsid w:val="00821F8F"/>
    <w:rsid w:val="008223F3"/>
    <w:rsid w:val="008376C6"/>
    <w:rsid w:val="0084667F"/>
    <w:rsid w:val="00853FA8"/>
    <w:rsid w:val="00854152"/>
    <w:rsid w:val="00866778"/>
    <w:rsid w:val="008846E0"/>
    <w:rsid w:val="00887516"/>
    <w:rsid w:val="008A1079"/>
    <w:rsid w:val="008A305D"/>
    <w:rsid w:val="008A4DF9"/>
    <w:rsid w:val="008B463D"/>
    <w:rsid w:val="008C238E"/>
    <w:rsid w:val="008C327F"/>
    <w:rsid w:val="008C5E26"/>
    <w:rsid w:val="008D2C1D"/>
    <w:rsid w:val="008D32A1"/>
    <w:rsid w:val="008E62C5"/>
    <w:rsid w:val="008E794A"/>
    <w:rsid w:val="008F04E9"/>
    <w:rsid w:val="009000FF"/>
    <w:rsid w:val="00901C6C"/>
    <w:rsid w:val="009022F0"/>
    <w:rsid w:val="00905A81"/>
    <w:rsid w:val="009118C6"/>
    <w:rsid w:val="00913073"/>
    <w:rsid w:val="00915F35"/>
    <w:rsid w:val="0092600D"/>
    <w:rsid w:val="009351F0"/>
    <w:rsid w:val="00941EB0"/>
    <w:rsid w:val="009437AE"/>
    <w:rsid w:val="00943EF3"/>
    <w:rsid w:val="0094403D"/>
    <w:rsid w:val="00952C4C"/>
    <w:rsid w:val="0095784D"/>
    <w:rsid w:val="009579AD"/>
    <w:rsid w:val="0096524C"/>
    <w:rsid w:val="00971567"/>
    <w:rsid w:val="00973481"/>
    <w:rsid w:val="009907FF"/>
    <w:rsid w:val="009A611D"/>
    <w:rsid w:val="009A6D88"/>
    <w:rsid w:val="009A7CF2"/>
    <w:rsid w:val="009C21E4"/>
    <w:rsid w:val="009F127C"/>
    <w:rsid w:val="00A14351"/>
    <w:rsid w:val="00A14943"/>
    <w:rsid w:val="00A24796"/>
    <w:rsid w:val="00A27B51"/>
    <w:rsid w:val="00A302B4"/>
    <w:rsid w:val="00A30E5E"/>
    <w:rsid w:val="00A371FC"/>
    <w:rsid w:val="00A543F9"/>
    <w:rsid w:val="00A55CFF"/>
    <w:rsid w:val="00A659F9"/>
    <w:rsid w:val="00A7005C"/>
    <w:rsid w:val="00A740A7"/>
    <w:rsid w:val="00A82B6A"/>
    <w:rsid w:val="00A83127"/>
    <w:rsid w:val="00A8749F"/>
    <w:rsid w:val="00AA4DF1"/>
    <w:rsid w:val="00AB0488"/>
    <w:rsid w:val="00AB2BAF"/>
    <w:rsid w:val="00AB3930"/>
    <w:rsid w:val="00AC1510"/>
    <w:rsid w:val="00AC7BA5"/>
    <w:rsid w:val="00AE30C3"/>
    <w:rsid w:val="00AE7E07"/>
    <w:rsid w:val="00AF1665"/>
    <w:rsid w:val="00AF32B1"/>
    <w:rsid w:val="00AF35E3"/>
    <w:rsid w:val="00AF6C48"/>
    <w:rsid w:val="00B018F1"/>
    <w:rsid w:val="00B020F5"/>
    <w:rsid w:val="00B07206"/>
    <w:rsid w:val="00B13C15"/>
    <w:rsid w:val="00B34A53"/>
    <w:rsid w:val="00B36593"/>
    <w:rsid w:val="00B4416D"/>
    <w:rsid w:val="00B46FC8"/>
    <w:rsid w:val="00B5450A"/>
    <w:rsid w:val="00B552B8"/>
    <w:rsid w:val="00B57769"/>
    <w:rsid w:val="00B70D24"/>
    <w:rsid w:val="00B761E2"/>
    <w:rsid w:val="00B76DE4"/>
    <w:rsid w:val="00B77CF4"/>
    <w:rsid w:val="00B83677"/>
    <w:rsid w:val="00B83E43"/>
    <w:rsid w:val="00B921F1"/>
    <w:rsid w:val="00B951FA"/>
    <w:rsid w:val="00BB05E5"/>
    <w:rsid w:val="00BB2FD9"/>
    <w:rsid w:val="00BC275E"/>
    <w:rsid w:val="00BC5F3D"/>
    <w:rsid w:val="00BC7827"/>
    <w:rsid w:val="00BD60AE"/>
    <w:rsid w:val="00BE1776"/>
    <w:rsid w:val="00BF2C28"/>
    <w:rsid w:val="00BF7666"/>
    <w:rsid w:val="00C03B7C"/>
    <w:rsid w:val="00C11484"/>
    <w:rsid w:val="00C14EF4"/>
    <w:rsid w:val="00C20C19"/>
    <w:rsid w:val="00C3469B"/>
    <w:rsid w:val="00C4275E"/>
    <w:rsid w:val="00C45B9E"/>
    <w:rsid w:val="00C506B0"/>
    <w:rsid w:val="00C62887"/>
    <w:rsid w:val="00C6633F"/>
    <w:rsid w:val="00C702AD"/>
    <w:rsid w:val="00C713F8"/>
    <w:rsid w:val="00C71C60"/>
    <w:rsid w:val="00C76E30"/>
    <w:rsid w:val="00C8461E"/>
    <w:rsid w:val="00C85DB2"/>
    <w:rsid w:val="00C8749B"/>
    <w:rsid w:val="00C96C45"/>
    <w:rsid w:val="00CA671C"/>
    <w:rsid w:val="00CB6DC7"/>
    <w:rsid w:val="00CC0697"/>
    <w:rsid w:val="00CC5749"/>
    <w:rsid w:val="00CC7CBB"/>
    <w:rsid w:val="00CD2708"/>
    <w:rsid w:val="00CD7C00"/>
    <w:rsid w:val="00CE2A91"/>
    <w:rsid w:val="00CE48B8"/>
    <w:rsid w:val="00CE7BC8"/>
    <w:rsid w:val="00CF0412"/>
    <w:rsid w:val="00CF24AB"/>
    <w:rsid w:val="00CF4F7E"/>
    <w:rsid w:val="00CF5A1C"/>
    <w:rsid w:val="00CF7308"/>
    <w:rsid w:val="00CF7DDC"/>
    <w:rsid w:val="00D01EB0"/>
    <w:rsid w:val="00D11736"/>
    <w:rsid w:val="00D16E70"/>
    <w:rsid w:val="00D270BA"/>
    <w:rsid w:val="00D33A1B"/>
    <w:rsid w:val="00D4646C"/>
    <w:rsid w:val="00D56AE6"/>
    <w:rsid w:val="00D708D4"/>
    <w:rsid w:val="00D71EDD"/>
    <w:rsid w:val="00D7291B"/>
    <w:rsid w:val="00D754F8"/>
    <w:rsid w:val="00D878EA"/>
    <w:rsid w:val="00D94D90"/>
    <w:rsid w:val="00D9602D"/>
    <w:rsid w:val="00D97A64"/>
    <w:rsid w:val="00DA5379"/>
    <w:rsid w:val="00DA65F3"/>
    <w:rsid w:val="00DA7ED3"/>
    <w:rsid w:val="00DB1A52"/>
    <w:rsid w:val="00DC0F6A"/>
    <w:rsid w:val="00DC7E9B"/>
    <w:rsid w:val="00DD52B8"/>
    <w:rsid w:val="00DE35CC"/>
    <w:rsid w:val="00DE372D"/>
    <w:rsid w:val="00DE5EEB"/>
    <w:rsid w:val="00DE681C"/>
    <w:rsid w:val="00DE68CB"/>
    <w:rsid w:val="00DF75E6"/>
    <w:rsid w:val="00E040EA"/>
    <w:rsid w:val="00E06EBC"/>
    <w:rsid w:val="00E07700"/>
    <w:rsid w:val="00E16218"/>
    <w:rsid w:val="00E162C2"/>
    <w:rsid w:val="00E17B59"/>
    <w:rsid w:val="00E23169"/>
    <w:rsid w:val="00E2755F"/>
    <w:rsid w:val="00E3206D"/>
    <w:rsid w:val="00E325A8"/>
    <w:rsid w:val="00E34133"/>
    <w:rsid w:val="00E35612"/>
    <w:rsid w:val="00E36D47"/>
    <w:rsid w:val="00E4335F"/>
    <w:rsid w:val="00E47CD1"/>
    <w:rsid w:val="00E47F75"/>
    <w:rsid w:val="00E50DE9"/>
    <w:rsid w:val="00E67318"/>
    <w:rsid w:val="00E70650"/>
    <w:rsid w:val="00E71520"/>
    <w:rsid w:val="00E73920"/>
    <w:rsid w:val="00E73A8A"/>
    <w:rsid w:val="00E75938"/>
    <w:rsid w:val="00E75CFB"/>
    <w:rsid w:val="00E8042B"/>
    <w:rsid w:val="00E80D5C"/>
    <w:rsid w:val="00E84B55"/>
    <w:rsid w:val="00E853C3"/>
    <w:rsid w:val="00E9295C"/>
    <w:rsid w:val="00EA42DD"/>
    <w:rsid w:val="00EB34B3"/>
    <w:rsid w:val="00EC2F14"/>
    <w:rsid w:val="00ED000B"/>
    <w:rsid w:val="00ED1F2B"/>
    <w:rsid w:val="00ED7D33"/>
    <w:rsid w:val="00EF2652"/>
    <w:rsid w:val="00EF4423"/>
    <w:rsid w:val="00F1269A"/>
    <w:rsid w:val="00F12A36"/>
    <w:rsid w:val="00F14CBE"/>
    <w:rsid w:val="00F2177A"/>
    <w:rsid w:val="00F24452"/>
    <w:rsid w:val="00F27A29"/>
    <w:rsid w:val="00F47F41"/>
    <w:rsid w:val="00F51C2E"/>
    <w:rsid w:val="00F53C58"/>
    <w:rsid w:val="00F579BB"/>
    <w:rsid w:val="00F66082"/>
    <w:rsid w:val="00F70108"/>
    <w:rsid w:val="00F73E1B"/>
    <w:rsid w:val="00F76B99"/>
    <w:rsid w:val="00F77C02"/>
    <w:rsid w:val="00F82EA3"/>
    <w:rsid w:val="00F85B75"/>
    <w:rsid w:val="00F85C98"/>
    <w:rsid w:val="00F94F4E"/>
    <w:rsid w:val="00FA243F"/>
    <w:rsid w:val="00FB3F94"/>
    <w:rsid w:val="00FD486A"/>
    <w:rsid w:val="00FD6626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8DB3E"/>
  <w15:chartTrackingRefBased/>
  <w15:docId w15:val="{FC3491FB-A0FE-B642-8B33-8FED6F10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92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0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E3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1621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1621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A371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71FC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E7593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1755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260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26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6147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8164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0509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2740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9971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8380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4867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9148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8602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2122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15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2981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3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111/aos.137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73755BE-9328-D446-B98B-AF3B68AC2CA9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0FC099-0DD5-1344-9A8E-0183DAFD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4178</Words>
  <Characters>23819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Abdelzaher Awwad</dc:creator>
  <cp:keywords/>
  <dc:description/>
  <cp:lastModifiedBy>Mohamed Abdelzaher Awwad</cp:lastModifiedBy>
  <cp:revision>2</cp:revision>
  <dcterms:created xsi:type="dcterms:W3CDTF">2022-07-14T16:51:00Z</dcterms:created>
  <dcterms:modified xsi:type="dcterms:W3CDTF">2022-07-14T16:51:00Z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documentId_4066</vt:lpwstr>
  </property>
  <property fmtid="{D5CDD505-2E9C-101B-9397-08002B2CF9AE}" pid="3" name="grammarly_documentContext">
    <vt:lpwstr>{"goals":["describe","inform"],"domain":"academic","emotions":["confident","analytical","respectful"],"dialect":"british","style":"formal"}</vt:lpwstr>
  </property>
</Properties>
</file>